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68" w:rsidRPr="00E22568" w:rsidRDefault="00E22568" w:rsidP="00E22568">
      <w:pPr>
        <w:contextualSpacing/>
        <w:jc w:val="center"/>
        <w:rPr>
          <w:rFonts w:ascii="Times New Roman" w:hAnsi="Times New Roman" w:cs="Times New Roman"/>
        </w:rPr>
      </w:pPr>
      <w:r w:rsidRPr="00E22568">
        <w:rPr>
          <w:rFonts w:ascii="Times New Roman" w:hAnsi="Times New Roman" w:cs="Times New Roman"/>
        </w:rPr>
        <w:t>IN THE CIRCUIT COURT OF THE THIRTEENTH JUDICIAL CIRCUIT</w:t>
      </w:r>
    </w:p>
    <w:p w:rsidR="00E22568" w:rsidRPr="00E22568" w:rsidRDefault="00E22568" w:rsidP="00E22568">
      <w:pPr>
        <w:contextualSpacing/>
        <w:jc w:val="center"/>
        <w:rPr>
          <w:rFonts w:ascii="Times New Roman" w:hAnsi="Times New Roman" w:cs="Times New Roman"/>
        </w:rPr>
      </w:pPr>
      <w:r w:rsidRPr="00E22568">
        <w:rPr>
          <w:rFonts w:ascii="Times New Roman" w:hAnsi="Times New Roman" w:cs="Times New Roman"/>
        </w:rPr>
        <w:t>HILLSBOROUGH COUNTY, FLORIDA</w:t>
      </w:r>
    </w:p>
    <w:p w:rsidR="00E22568" w:rsidRPr="00E22568" w:rsidRDefault="00E22568" w:rsidP="00E22568">
      <w:pPr>
        <w:contextualSpacing/>
        <w:jc w:val="center"/>
        <w:rPr>
          <w:rFonts w:ascii="Times New Roman" w:hAnsi="Times New Roman" w:cs="Times New Roman"/>
        </w:rPr>
      </w:pPr>
      <w:r w:rsidRPr="00E22568">
        <w:rPr>
          <w:rFonts w:ascii="Times New Roman" w:hAnsi="Times New Roman" w:cs="Times New Roman"/>
        </w:rPr>
        <w:t>CIVIL DIVISION</w:t>
      </w:r>
    </w:p>
    <w:p w:rsidR="00E22568" w:rsidRPr="00E22568" w:rsidRDefault="00E22568" w:rsidP="00E22568">
      <w:pPr>
        <w:contextualSpacing/>
        <w:rPr>
          <w:rFonts w:ascii="Times New Roman" w:hAnsi="Times New Roman" w:cs="Times New Roman"/>
        </w:rPr>
      </w:pPr>
    </w:p>
    <w:p w:rsidR="00E22568" w:rsidRPr="00E22568" w:rsidRDefault="00E22568" w:rsidP="00E22568">
      <w:pPr>
        <w:tabs>
          <w:tab w:val="left" w:pos="720"/>
          <w:tab w:val="left" w:pos="6480"/>
          <w:tab w:val="left" w:pos="7560"/>
        </w:tabs>
        <w:ind w:right="4320"/>
        <w:contextualSpacing/>
        <w:rPr>
          <w:rFonts w:ascii="Times New Roman" w:hAnsi="Times New Roman" w:cs="Times New Roman"/>
        </w:rPr>
      </w:pPr>
      <w:r w:rsidRPr="00E22568">
        <w:rPr>
          <w:rFonts w:ascii="Times New Roman" w:hAnsi="Times New Roman" w:cs="Times New Roman"/>
          <w:caps/>
        </w:rPr>
        <w:t>____________________________________</w:t>
      </w:r>
      <w:r w:rsidRPr="00E22568">
        <w:rPr>
          <w:rFonts w:ascii="Times New Roman" w:hAnsi="Times New Roman" w:cs="Times New Roman"/>
        </w:rPr>
        <w:t>,</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contextualSpacing/>
        <w:rPr>
          <w:rFonts w:ascii="Times New Roman" w:hAnsi="Times New Roman" w:cs="Times New Roman"/>
        </w:rPr>
      </w:pPr>
      <w:r w:rsidRPr="00E22568">
        <w:rPr>
          <w:rFonts w:ascii="Times New Roman" w:hAnsi="Times New Roman" w:cs="Times New Roman"/>
        </w:rPr>
        <w:tab/>
        <w:t>Plaintiff,</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contextualSpacing/>
        <w:rPr>
          <w:rFonts w:ascii="Times New Roman" w:hAnsi="Times New Roman" w:cs="Times New Roman"/>
          <w:caps/>
        </w:rPr>
      </w:pPr>
      <w:r w:rsidRPr="00E22568">
        <w:rPr>
          <w:rFonts w:ascii="Times New Roman" w:hAnsi="Times New Roman" w:cs="Times New Roman"/>
        </w:rPr>
        <w:t>v.</w:t>
      </w:r>
      <w:r w:rsidRPr="00E22568">
        <w:rPr>
          <w:rFonts w:ascii="Times New Roman" w:hAnsi="Times New Roman" w:cs="Times New Roman"/>
        </w:rPr>
        <w:tab/>
      </w:r>
      <w:r w:rsidRPr="00E22568">
        <w:rPr>
          <w:rFonts w:ascii="Times New Roman" w:hAnsi="Times New Roman" w:cs="Times New Roman"/>
        </w:rPr>
        <w:tab/>
        <w:t>Case No.:</w:t>
      </w:r>
      <w:r w:rsidRPr="00E22568">
        <w:rPr>
          <w:rFonts w:ascii="Times New Roman" w:hAnsi="Times New Roman" w:cs="Times New Roman"/>
          <w:caps/>
        </w:rPr>
        <w:tab/>
      </w:r>
    </w:p>
    <w:p w:rsidR="00E22568" w:rsidRPr="00E22568" w:rsidRDefault="00E22568" w:rsidP="00E22568">
      <w:pPr>
        <w:tabs>
          <w:tab w:val="left" w:pos="720"/>
          <w:tab w:val="left" w:pos="6480"/>
          <w:tab w:val="left" w:pos="7560"/>
        </w:tabs>
        <w:contextualSpacing/>
        <w:rPr>
          <w:rFonts w:ascii="Times New Roman" w:hAnsi="Times New Roman" w:cs="Times New Roman"/>
        </w:rPr>
      </w:pPr>
      <w:r w:rsidRPr="00E22568">
        <w:rPr>
          <w:rFonts w:ascii="Times New Roman" w:hAnsi="Times New Roman" w:cs="Times New Roman"/>
        </w:rPr>
        <w:tab/>
      </w:r>
      <w:r w:rsidRPr="00E22568">
        <w:rPr>
          <w:rFonts w:ascii="Times New Roman" w:hAnsi="Times New Roman" w:cs="Times New Roman"/>
        </w:rPr>
        <w:tab/>
        <w:t>Division:</w:t>
      </w:r>
      <w:r w:rsidRPr="00E22568">
        <w:rPr>
          <w:rFonts w:ascii="Times New Roman" w:hAnsi="Times New Roman" w:cs="Times New Roman"/>
        </w:rPr>
        <w:tab/>
        <w:t>C</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ind w:right="4320"/>
        <w:contextualSpacing/>
        <w:rPr>
          <w:rFonts w:ascii="Times New Roman" w:hAnsi="Times New Roman" w:cs="Times New Roman"/>
        </w:rPr>
      </w:pPr>
      <w:r w:rsidRPr="00E22568">
        <w:rPr>
          <w:rFonts w:ascii="Times New Roman" w:hAnsi="Times New Roman" w:cs="Times New Roman"/>
          <w:caps/>
        </w:rPr>
        <w:t>____________________________________</w:t>
      </w:r>
      <w:r w:rsidRPr="00E22568">
        <w:rPr>
          <w:rFonts w:ascii="Times New Roman" w:hAnsi="Times New Roman" w:cs="Times New Roman"/>
        </w:rPr>
        <w:t>,</w:t>
      </w:r>
    </w:p>
    <w:p w:rsidR="00E22568" w:rsidRPr="00E22568" w:rsidRDefault="00E22568" w:rsidP="00E22568">
      <w:pPr>
        <w:tabs>
          <w:tab w:val="left" w:pos="720"/>
          <w:tab w:val="left" w:pos="6480"/>
          <w:tab w:val="left" w:pos="7560"/>
        </w:tabs>
        <w:contextualSpacing/>
        <w:rPr>
          <w:rFonts w:ascii="Times New Roman" w:hAnsi="Times New Roman" w:cs="Times New Roman"/>
        </w:rPr>
      </w:pPr>
    </w:p>
    <w:p w:rsidR="00E22568" w:rsidRPr="00E22568" w:rsidRDefault="00E22568" w:rsidP="00E22568">
      <w:pPr>
        <w:tabs>
          <w:tab w:val="left" w:pos="720"/>
          <w:tab w:val="left" w:pos="6480"/>
          <w:tab w:val="left" w:pos="7560"/>
        </w:tabs>
        <w:contextualSpacing/>
        <w:rPr>
          <w:rFonts w:ascii="Times New Roman" w:hAnsi="Times New Roman" w:cs="Times New Roman"/>
        </w:rPr>
      </w:pPr>
      <w:r w:rsidRPr="00E22568">
        <w:rPr>
          <w:rFonts w:ascii="Times New Roman" w:hAnsi="Times New Roman" w:cs="Times New Roman"/>
        </w:rPr>
        <w:tab/>
        <w:t>Defendant.</w:t>
      </w:r>
    </w:p>
    <w:p w:rsidR="00E22568" w:rsidRDefault="00E22568" w:rsidP="00E22568">
      <w:pPr>
        <w:tabs>
          <w:tab w:val="left" w:pos="5040"/>
          <w:tab w:val="left" w:pos="6480"/>
          <w:tab w:val="left" w:pos="7560"/>
        </w:tabs>
        <w:contextualSpacing/>
      </w:pPr>
      <w:r>
        <w:rPr>
          <w:u w:val="single"/>
        </w:rPr>
        <w:t xml:space="preserve"> </w:t>
      </w:r>
      <w:r>
        <w:rPr>
          <w:u w:val="single"/>
        </w:rPr>
        <w:tab/>
      </w:r>
      <w:r>
        <w:t xml:space="preserve">  /</w:t>
      </w:r>
    </w:p>
    <w:p w:rsidR="003A61AD" w:rsidRPr="006376F5" w:rsidRDefault="003A61AD" w:rsidP="003A61AD">
      <w:pPr>
        <w:jc w:val="both"/>
        <w:rPr>
          <w:rFonts w:ascii="Times New Roman" w:hAnsi="Times New Roman" w:cs="Times New Roman"/>
        </w:rPr>
      </w:pPr>
    </w:p>
    <w:p w:rsidR="00833191" w:rsidRPr="00833191" w:rsidRDefault="00833191" w:rsidP="00F512BB">
      <w:pPr>
        <w:jc w:val="center"/>
        <w:rPr>
          <w:rFonts w:ascii="Times New Roman" w:hAnsi="Times New Roman" w:cs="Times New Roman"/>
          <w:b/>
        </w:rPr>
      </w:pPr>
      <w:r w:rsidRPr="00833191">
        <w:rPr>
          <w:rFonts w:ascii="Times New Roman" w:hAnsi="Times New Roman" w:cs="Times New Roman"/>
          <w:b/>
        </w:rPr>
        <w:t>ORDER SETTING FINAL EVIDENTIARY HEARING ON ATTORNEYS’ FEES AND</w:t>
      </w:r>
    </w:p>
    <w:p w:rsidR="00833191" w:rsidRPr="00F512BB" w:rsidRDefault="00833191" w:rsidP="00F512BB">
      <w:pPr>
        <w:jc w:val="center"/>
        <w:rPr>
          <w:rFonts w:ascii="Times New Roman" w:hAnsi="Times New Roman" w:cs="Times New Roman"/>
          <w:bCs/>
          <w:i/>
          <w:u w:val="single"/>
        </w:rPr>
      </w:pPr>
      <w:r w:rsidRPr="00F512BB">
        <w:rPr>
          <w:rFonts w:ascii="Times New Roman" w:hAnsi="Times New Roman" w:cs="Times New Roman"/>
          <w:b/>
          <w:u w:val="single"/>
        </w:rPr>
        <w:t>COSTS AND ESTABLISHING PRE-HEARING REQUIREMENTS</w:t>
      </w:r>
    </w:p>
    <w:p w:rsidR="006376F5" w:rsidRPr="006376F5" w:rsidRDefault="00833191" w:rsidP="00833191">
      <w:pPr>
        <w:rPr>
          <w:rFonts w:ascii="Times New Roman" w:hAnsi="Times New Roman" w:cs="Times New Roman"/>
          <w:b/>
          <w:bCs/>
          <w:u w:val="single"/>
        </w:rPr>
      </w:pPr>
      <w:r w:rsidRPr="006376F5">
        <w:rPr>
          <w:rFonts w:ascii="Times New Roman" w:hAnsi="Times New Roman" w:cs="Times New Roman"/>
          <w:b/>
          <w:bCs/>
          <w:u w:val="single"/>
        </w:rPr>
        <w:t xml:space="preserve"> </w:t>
      </w:r>
    </w:p>
    <w:p w:rsidR="006376F5" w:rsidRDefault="00833191" w:rsidP="00833191">
      <w:pPr>
        <w:ind w:firstLine="720"/>
        <w:jc w:val="both"/>
        <w:rPr>
          <w:rFonts w:ascii="Times New Roman" w:hAnsi="Times New Roman" w:cs="Times New Roman"/>
          <w:b/>
          <w:bCs/>
          <w:color w:val="000000"/>
        </w:rPr>
      </w:pPr>
      <w:r w:rsidRPr="00833191">
        <w:rPr>
          <w:rFonts w:ascii="Times New Roman" w:hAnsi="Times New Roman" w:cs="Times New Roman"/>
          <w:color w:val="000000"/>
        </w:rPr>
        <w:t xml:space="preserve">It appearing from the pleadings that there remains for determination in this case </w:t>
      </w:r>
      <w:r w:rsidR="003206CA">
        <w:rPr>
          <w:rFonts w:ascii="Times New Roman" w:hAnsi="Times New Roman" w:cs="Times New Roman"/>
          <w:color w:val="000000"/>
        </w:rPr>
        <w:t>a</w:t>
      </w:r>
      <w:r w:rsidRPr="00833191">
        <w:rPr>
          <w:rFonts w:ascii="Times New Roman" w:hAnsi="Times New Roman" w:cs="Times New Roman"/>
          <w:color w:val="000000"/>
        </w:rPr>
        <w:t xml:space="preserve"> disputed issue</w:t>
      </w:r>
      <w:r>
        <w:rPr>
          <w:rFonts w:ascii="Times New Roman" w:hAnsi="Times New Roman" w:cs="Times New Roman"/>
          <w:color w:val="000000"/>
        </w:rPr>
        <w:t xml:space="preserve"> of</w:t>
      </w:r>
      <w:r w:rsidRPr="00833191">
        <w:rPr>
          <w:rFonts w:ascii="Times New Roman" w:hAnsi="Times New Roman" w:cs="Times New Roman"/>
          <w:color w:val="000000"/>
        </w:rPr>
        <w:t xml:space="preserve"> the amount of the attorneys’ fees and costs to which the moving party is entitled, the Court, to insure an orderly and efficient presentation and resolution of disputed requests for attorneys’ fees and taxable costs, </w:t>
      </w:r>
      <w:r w:rsidRPr="00833191">
        <w:rPr>
          <w:rFonts w:ascii="Times New Roman" w:hAnsi="Times New Roman" w:cs="Times New Roman"/>
          <w:b/>
          <w:bCs/>
          <w:color w:val="000000"/>
        </w:rPr>
        <w:t>ORDERS AS F</w:t>
      </w:r>
      <w:r>
        <w:rPr>
          <w:rFonts w:ascii="Times New Roman" w:hAnsi="Times New Roman" w:cs="Times New Roman"/>
          <w:b/>
          <w:bCs/>
          <w:color w:val="000000"/>
        </w:rPr>
        <w:t>OLLOWS:</w:t>
      </w:r>
    </w:p>
    <w:p w:rsidR="00833191" w:rsidRPr="00833191" w:rsidRDefault="00833191" w:rsidP="00833191">
      <w:pPr>
        <w:ind w:firstLine="720"/>
        <w:jc w:val="both"/>
        <w:rPr>
          <w:rFonts w:ascii="Times New Roman" w:hAnsi="Times New Roman" w:cs="Times New Roman"/>
        </w:rPr>
      </w:pPr>
    </w:p>
    <w:p w:rsidR="00833191" w:rsidRDefault="00833191" w:rsidP="00833191">
      <w:pPr>
        <w:pStyle w:val="Default"/>
        <w:numPr>
          <w:ilvl w:val="0"/>
          <w:numId w:val="27"/>
        </w:numPr>
        <w:spacing w:after="202"/>
        <w:ind w:left="360" w:hanging="360"/>
        <w:jc w:val="both"/>
        <w:rPr>
          <w:sz w:val="23"/>
          <w:szCs w:val="23"/>
        </w:rPr>
      </w:pPr>
      <w:r w:rsidRPr="000B2F19">
        <w:rPr>
          <w:b/>
          <w:bCs/>
          <w:sz w:val="23"/>
          <w:szCs w:val="23"/>
          <w:u w:val="single"/>
        </w:rPr>
        <w:t>Hearing Date</w:t>
      </w:r>
      <w:r w:rsidRPr="000B2F19">
        <w:rPr>
          <w:sz w:val="23"/>
          <w:szCs w:val="23"/>
        </w:rPr>
        <w:t>. The final evidentiary hearing on the Plaintiff</w:t>
      </w:r>
      <w:r>
        <w:rPr>
          <w:sz w:val="23"/>
          <w:szCs w:val="23"/>
        </w:rPr>
        <w:t>s’</w:t>
      </w:r>
      <w:r w:rsidRPr="000B2F19">
        <w:rPr>
          <w:sz w:val="23"/>
          <w:szCs w:val="23"/>
        </w:rPr>
        <w:t xml:space="preserve"> motion for award of attorneys’ fees and taxation of costs (“Fee Hearing”) is set before the Honorable </w:t>
      </w:r>
      <w:r>
        <w:rPr>
          <w:sz w:val="23"/>
          <w:szCs w:val="23"/>
        </w:rPr>
        <w:t>Elizabeth G. Rice</w:t>
      </w:r>
      <w:r w:rsidRPr="000B2F19">
        <w:rPr>
          <w:sz w:val="23"/>
          <w:szCs w:val="23"/>
        </w:rPr>
        <w:t>, Circuit Judge, at the George Edgecomb Courthouse, 800 E. Twiggs St., Hearing room #52</w:t>
      </w:r>
      <w:r>
        <w:rPr>
          <w:sz w:val="23"/>
          <w:szCs w:val="23"/>
        </w:rPr>
        <w:t>1</w:t>
      </w:r>
      <w:r w:rsidRPr="000B2F19">
        <w:rPr>
          <w:sz w:val="23"/>
          <w:szCs w:val="23"/>
        </w:rPr>
        <w:t xml:space="preserve">, Tampa, FL 33602 for </w:t>
      </w:r>
      <w:r w:rsidRPr="000B2F19">
        <w:rPr>
          <w:b/>
          <w:bCs/>
          <w:sz w:val="23"/>
          <w:szCs w:val="23"/>
        </w:rPr>
        <w:t>(</w:t>
      </w:r>
      <w:r>
        <w:rPr>
          <w:b/>
          <w:bCs/>
          <w:sz w:val="23"/>
          <w:szCs w:val="23"/>
        </w:rPr>
        <w:t>_______________</w:t>
      </w:r>
      <w:r w:rsidRPr="000B2F19">
        <w:rPr>
          <w:b/>
          <w:bCs/>
          <w:sz w:val="23"/>
          <w:szCs w:val="23"/>
        </w:rPr>
        <w:t>)</w:t>
      </w:r>
      <w:r w:rsidRPr="000B2F19">
        <w:rPr>
          <w:sz w:val="23"/>
          <w:szCs w:val="23"/>
        </w:rPr>
        <w:t xml:space="preserve">, at </w:t>
      </w:r>
      <w:r w:rsidRPr="000B2F19">
        <w:rPr>
          <w:b/>
          <w:bCs/>
          <w:sz w:val="23"/>
          <w:szCs w:val="23"/>
        </w:rPr>
        <w:t>(</w:t>
      </w:r>
      <w:r>
        <w:rPr>
          <w:b/>
          <w:bCs/>
          <w:sz w:val="23"/>
          <w:szCs w:val="23"/>
        </w:rPr>
        <w:t>______________</w:t>
      </w:r>
      <w:r w:rsidRPr="000B2F19">
        <w:rPr>
          <w:b/>
          <w:bCs/>
          <w:sz w:val="23"/>
          <w:szCs w:val="23"/>
        </w:rPr>
        <w:t xml:space="preserve">) </w:t>
      </w:r>
      <w:r w:rsidRPr="000B2F19">
        <w:rPr>
          <w:sz w:val="23"/>
          <w:szCs w:val="23"/>
        </w:rPr>
        <w:t>for ap</w:t>
      </w:r>
      <w:bookmarkStart w:id="0" w:name="_GoBack"/>
      <w:bookmarkEnd w:id="0"/>
      <w:r w:rsidRPr="000B2F19">
        <w:rPr>
          <w:sz w:val="23"/>
          <w:szCs w:val="23"/>
        </w:rPr>
        <w:t xml:space="preserve">proximately </w:t>
      </w:r>
      <w:r w:rsidRPr="000B2F19">
        <w:rPr>
          <w:b/>
          <w:bCs/>
          <w:sz w:val="23"/>
          <w:szCs w:val="23"/>
        </w:rPr>
        <w:t>(</w:t>
      </w:r>
      <w:r>
        <w:rPr>
          <w:b/>
          <w:bCs/>
          <w:sz w:val="23"/>
          <w:szCs w:val="23"/>
        </w:rPr>
        <w:t>__________________</w:t>
      </w:r>
      <w:r w:rsidRPr="000B2F19">
        <w:rPr>
          <w:b/>
          <w:bCs/>
          <w:sz w:val="23"/>
          <w:szCs w:val="23"/>
        </w:rPr>
        <w:t>)</w:t>
      </w:r>
      <w:r w:rsidRPr="000B2F19">
        <w:rPr>
          <w:sz w:val="23"/>
          <w:szCs w:val="23"/>
        </w:rPr>
        <w:t xml:space="preserve">. </w:t>
      </w:r>
    </w:p>
    <w:p w:rsidR="00833191" w:rsidRPr="000B2F19" w:rsidRDefault="00833191" w:rsidP="00833191">
      <w:pPr>
        <w:pStyle w:val="Default"/>
        <w:numPr>
          <w:ilvl w:val="0"/>
          <w:numId w:val="27"/>
        </w:numPr>
        <w:spacing w:after="202"/>
        <w:ind w:left="360" w:hanging="360"/>
        <w:jc w:val="both"/>
        <w:rPr>
          <w:sz w:val="23"/>
          <w:szCs w:val="23"/>
        </w:rPr>
      </w:pPr>
      <w:r w:rsidRPr="000B2F19">
        <w:rPr>
          <w:b/>
          <w:bCs/>
          <w:sz w:val="23"/>
          <w:szCs w:val="23"/>
          <w:u w:val="single"/>
        </w:rPr>
        <w:t>Pre-Fee Hearing Conference</w:t>
      </w:r>
      <w:r w:rsidRPr="000B2F19">
        <w:rPr>
          <w:sz w:val="23"/>
          <w:szCs w:val="23"/>
        </w:rPr>
        <w:t xml:space="preserve">. A Pre-Fee Hearing Conference in this case is set before the undersigned judge for </w:t>
      </w:r>
      <w:r w:rsidRPr="000B2F19">
        <w:rPr>
          <w:b/>
          <w:bCs/>
          <w:sz w:val="23"/>
          <w:szCs w:val="23"/>
        </w:rPr>
        <w:t>(</w:t>
      </w:r>
      <w:r>
        <w:rPr>
          <w:b/>
          <w:bCs/>
          <w:sz w:val="23"/>
          <w:szCs w:val="23"/>
        </w:rPr>
        <w:t>_______________</w:t>
      </w:r>
      <w:r w:rsidRPr="000B2F19">
        <w:rPr>
          <w:b/>
          <w:bCs/>
          <w:sz w:val="23"/>
          <w:szCs w:val="23"/>
        </w:rPr>
        <w:t>)</w:t>
      </w:r>
      <w:r w:rsidRPr="000B2F19">
        <w:rPr>
          <w:sz w:val="23"/>
          <w:szCs w:val="23"/>
        </w:rPr>
        <w:t xml:space="preserve">, at </w:t>
      </w:r>
      <w:r w:rsidRPr="000B2F19">
        <w:rPr>
          <w:b/>
          <w:bCs/>
          <w:sz w:val="23"/>
          <w:szCs w:val="23"/>
        </w:rPr>
        <w:t>(</w:t>
      </w:r>
      <w:r>
        <w:rPr>
          <w:b/>
          <w:bCs/>
          <w:sz w:val="23"/>
          <w:szCs w:val="23"/>
        </w:rPr>
        <w:t>________________</w:t>
      </w:r>
      <w:r w:rsidRPr="000B2F19">
        <w:rPr>
          <w:b/>
          <w:bCs/>
          <w:sz w:val="23"/>
          <w:szCs w:val="23"/>
        </w:rPr>
        <w:t xml:space="preserve">) </w:t>
      </w:r>
      <w:r w:rsidRPr="000B2F19">
        <w:rPr>
          <w:sz w:val="23"/>
          <w:szCs w:val="23"/>
        </w:rPr>
        <w:t xml:space="preserve">for </w:t>
      </w:r>
      <w:r w:rsidRPr="000B2F19">
        <w:rPr>
          <w:b/>
          <w:bCs/>
          <w:sz w:val="23"/>
          <w:szCs w:val="23"/>
        </w:rPr>
        <w:t>30 minutes</w:t>
      </w:r>
      <w:r w:rsidRPr="000B2F19">
        <w:rPr>
          <w:sz w:val="23"/>
          <w:szCs w:val="23"/>
        </w:rPr>
        <w:t xml:space="preserve">. The parties shall be prepared to consider all matters to simplify the issues to expedite the Fee Hearing. </w:t>
      </w:r>
    </w:p>
    <w:p w:rsidR="00833191" w:rsidRDefault="00833191" w:rsidP="00833191">
      <w:pPr>
        <w:pStyle w:val="Default"/>
        <w:numPr>
          <w:ilvl w:val="0"/>
          <w:numId w:val="27"/>
        </w:numPr>
        <w:ind w:left="360" w:hanging="360"/>
        <w:rPr>
          <w:sz w:val="23"/>
          <w:szCs w:val="23"/>
        </w:rPr>
      </w:pPr>
      <w:r w:rsidRPr="000B2F19">
        <w:rPr>
          <w:b/>
          <w:bCs/>
          <w:sz w:val="23"/>
          <w:szCs w:val="23"/>
          <w:u w:val="single"/>
        </w:rPr>
        <w:t>Moving Party’s Production of Attorneys’ Fees &amp; Costs Affidavit</w:t>
      </w:r>
      <w:r w:rsidRPr="000B2F19">
        <w:rPr>
          <w:sz w:val="23"/>
          <w:szCs w:val="23"/>
        </w:rPr>
        <w:t>. No later than 20 days after the date of this Order, counsel for the moving party shall serve on the non</w:t>
      </w:r>
      <w:r w:rsidRPr="000B2F19">
        <w:rPr>
          <w:sz w:val="23"/>
          <w:szCs w:val="23"/>
        </w:rPr>
        <w:softHyphen/>
        <w:t xml:space="preserve">moving party and file with the Court an affidavit of attorneys’ fees and costs (“Affidavit”) setting forth the following information: </w:t>
      </w:r>
    </w:p>
    <w:p w:rsidR="00E92C7E" w:rsidRPr="000B2F19" w:rsidRDefault="00E92C7E" w:rsidP="00E92C7E">
      <w:pPr>
        <w:pStyle w:val="Default"/>
        <w:ind w:left="360"/>
        <w:rPr>
          <w:sz w:val="23"/>
          <w:szCs w:val="23"/>
        </w:rPr>
      </w:pPr>
    </w:p>
    <w:p w:rsidR="005725E6" w:rsidRDefault="005725E6" w:rsidP="005725E6">
      <w:pPr>
        <w:pStyle w:val="ListParagraph"/>
        <w:numPr>
          <w:ilvl w:val="0"/>
          <w:numId w:val="28"/>
        </w:numPr>
        <w:jc w:val="both"/>
        <w:rPr>
          <w:rFonts w:ascii="Times New Roman" w:hAnsi="Times New Roman" w:cs="Times New Roman"/>
          <w:color w:val="000000"/>
        </w:rPr>
      </w:pPr>
      <w:r w:rsidRPr="00450CBF">
        <w:rPr>
          <w:rFonts w:ascii="Times New Roman" w:hAnsi="Times New Roman" w:cs="Times New Roman"/>
          <w:color w:val="000000"/>
        </w:rPr>
        <w:t>Unless the parties have a written stipulation as to the reasonableness of the hourly rate(s) and the time and labor expended, the following information shall be included in the affidavit of attorney’s fees and costs: The time and labor expended in the case and an itemization of each request for attorneys’ fees and each item of cost for which the moving party is seeking reimbursement including, without limitation, an itemization setting forth the date each task was performed or cost was incurred; a reasonably detailed description of the task performed or cost expended; the amount of time or billable hour(s) expended in performing the task; and the name of the attorney or paralegal performing each itemized task for which a fee was incurred.</w:t>
      </w:r>
    </w:p>
    <w:p w:rsidR="005725E6" w:rsidRPr="00450CBF" w:rsidRDefault="005725E6" w:rsidP="005725E6">
      <w:pPr>
        <w:pStyle w:val="ListParagraph"/>
        <w:numPr>
          <w:ilvl w:val="0"/>
          <w:numId w:val="28"/>
        </w:numPr>
        <w:jc w:val="both"/>
        <w:rPr>
          <w:rFonts w:ascii="Times New Roman" w:hAnsi="Times New Roman" w:cs="Times New Roman"/>
          <w:color w:val="000000"/>
        </w:rPr>
      </w:pPr>
      <w:r w:rsidRPr="00450CBF">
        <w:rPr>
          <w:rFonts w:ascii="Times New Roman" w:hAnsi="Times New Roman" w:cs="Times New Roman"/>
          <w:color w:val="000000"/>
        </w:rPr>
        <w:lastRenderedPageBreak/>
        <w:t xml:space="preserve">A description of the factors contained in Rule 4-1.5 (b) of the Rules Regulating the Florida Bar including the following: </w:t>
      </w:r>
    </w:p>
    <w:p w:rsidR="005725E6" w:rsidRPr="0039564D" w:rsidRDefault="005725E6" w:rsidP="005725E6">
      <w:pPr>
        <w:pStyle w:val="ListParagraph"/>
        <w:ind w:left="1080" w:hanging="360"/>
        <w:jc w:val="both"/>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Novelty, complexity, and difficulty of question(s) involved in the case.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Skill requisite to perform the legal services properly.</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Preclusion of other employment by the attorney due to the acceptance of this case.</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Fee or rate of fee customarily charged in the locality for similar legal services.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The significance of, or amount involved, in the subject matter of the representation and the results obtained in the case.</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Time limitations imposed by the client or the circumstances.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 xml:space="preserve">The nature and length of the professional relationship with the client. </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jc w:val="both"/>
        <w:rPr>
          <w:rFonts w:ascii="Times New Roman" w:hAnsi="Times New Roman" w:cs="Times New Roman"/>
          <w:color w:val="000000"/>
        </w:rPr>
      </w:pPr>
      <w:r w:rsidRPr="0039564D">
        <w:rPr>
          <w:rFonts w:ascii="Times New Roman" w:hAnsi="Times New Roman" w:cs="Times New Roman"/>
          <w:color w:val="000000"/>
        </w:rPr>
        <w:t>The experience, reputation, diligence, and ability of the attorney or attorneys performing the services, and the skill, expertise, or efficiency of effort reflected in the actual performing of legal services.</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spacing w:after="275" w:line="276" w:lineRule="atLeast"/>
        <w:jc w:val="both"/>
        <w:rPr>
          <w:rFonts w:ascii="Times New Roman" w:hAnsi="Times New Roman" w:cs="Times New Roman"/>
          <w:color w:val="000000"/>
        </w:rPr>
      </w:pPr>
      <w:r w:rsidRPr="0039564D">
        <w:rPr>
          <w:rFonts w:ascii="Times New Roman" w:hAnsi="Times New Roman" w:cs="Times New Roman"/>
          <w:color w:val="000000"/>
        </w:rPr>
        <w:t>The fee arrangement or agreement with the Client.</w:t>
      </w:r>
    </w:p>
    <w:p w:rsidR="005725E6" w:rsidRPr="0039564D" w:rsidRDefault="005725E6" w:rsidP="005725E6">
      <w:pPr>
        <w:pStyle w:val="ListParagraph"/>
        <w:ind w:left="1080" w:hanging="360"/>
        <w:rPr>
          <w:rFonts w:ascii="Times New Roman" w:hAnsi="Times New Roman" w:cs="Times New Roman"/>
          <w:color w:val="000000"/>
        </w:rPr>
      </w:pPr>
    </w:p>
    <w:p w:rsidR="005725E6" w:rsidRPr="0039564D" w:rsidRDefault="005725E6" w:rsidP="005725E6">
      <w:pPr>
        <w:pStyle w:val="ListParagraph"/>
        <w:numPr>
          <w:ilvl w:val="0"/>
          <w:numId w:val="28"/>
        </w:numPr>
        <w:spacing w:after="275" w:line="276" w:lineRule="atLeast"/>
        <w:jc w:val="both"/>
        <w:rPr>
          <w:rFonts w:ascii="Times New Roman" w:hAnsi="Times New Roman" w:cs="Times New Roman"/>
        </w:rPr>
      </w:pPr>
      <w:r w:rsidRPr="0039564D">
        <w:rPr>
          <w:rFonts w:ascii="Times New Roman" w:hAnsi="Times New Roman" w:cs="Times New Roman"/>
          <w:color w:val="000000"/>
        </w:rPr>
        <w:t>Whether the fee is fixed or contingent, and if fixed as to amount or rate, then whether the client’s ability to pay rested to any significant degree on the outcome of the representation.</w:t>
      </w:r>
    </w:p>
    <w:p w:rsidR="005725E6" w:rsidRPr="0039564D" w:rsidRDefault="005725E6" w:rsidP="005725E6">
      <w:pPr>
        <w:pStyle w:val="ListParagraph"/>
        <w:ind w:left="1080" w:hanging="360"/>
        <w:rPr>
          <w:rFonts w:ascii="Times New Roman" w:hAnsi="Times New Roman" w:cs="Times New Roman"/>
        </w:rPr>
      </w:pPr>
    </w:p>
    <w:p w:rsidR="00E92C7E" w:rsidRPr="005725E6" w:rsidRDefault="005725E6" w:rsidP="005725E6">
      <w:pPr>
        <w:pStyle w:val="ListParagraph"/>
        <w:numPr>
          <w:ilvl w:val="0"/>
          <w:numId w:val="28"/>
        </w:numPr>
        <w:spacing w:after="275" w:line="276" w:lineRule="atLeast"/>
        <w:jc w:val="both"/>
        <w:rPr>
          <w:rFonts w:ascii="Times New Roman" w:hAnsi="Times New Roman" w:cs="Times New Roman"/>
        </w:rPr>
      </w:pPr>
      <w:r w:rsidRPr="0039564D">
        <w:rPr>
          <w:rFonts w:ascii="Times New Roman" w:hAnsi="Times New Roman" w:cs="Times New Roman"/>
        </w:rPr>
        <w:t>Awards in similar cases.</w:t>
      </w:r>
    </w:p>
    <w:p w:rsidR="00E92C7E" w:rsidRDefault="00E92C7E" w:rsidP="00E92C7E">
      <w:pPr>
        <w:pStyle w:val="CM3"/>
        <w:numPr>
          <w:ilvl w:val="0"/>
          <w:numId w:val="27"/>
        </w:numPr>
        <w:spacing w:after="202" w:line="240" w:lineRule="auto"/>
        <w:ind w:left="360" w:hanging="360"/>
        <w:jc w:val="both"/>
        <w:rPr>
          <w:color w:val="000000"/>
          <w:sz w:val="23"/>
          <w:szCs w:val="23"/>
        </w:rPr>
      </w:pPr>
      <w:r w:rsidRPr="000B2F19">
        <w:rPr>
          <w:b/>
          <w:bCs/>
          <w:color w:val="000000"/>
          <w:sz w:val="23"/>
          <w:szCs w:val="23"/>
          <w:u w:val="single"/>
        </w:rPr>
        <w:t>Non-Moving Party’s Response to Fees and Costs Itemization</w:t>
      </w:r>
      <w:r w:rsidRPr="000B2F19">
        <w:rPr>
          <w:color w:val="000000"/>
          <w:sz w:val="23"/>
          <w:szCs w:val="23"/>
        </w:rPr>
        <w:t>. No later than 10 days after service of the Affidavit, counsel for the non-moving party shall serve on the moving party and file with the Court a written response (“Non-Moving Party’s Response”) to (a) each request for attorneys fees/time entry and cost item set forth in paragraph 5a., stating with particularity whether counsel agrees to such request/time entry and cost item or objects to it, and (b) To the information provided in paragraphs 5b) through 5m). For each objection raised, counsel shall state the basis and, if applicable, cite supporting authority. In addition, as to any objection that a time entry is excessive or unreasonable, counsel shall state the amount of time it contends is reasonable and why.</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Moving Party’s Response to Non-Moving Party’s Response</w:t>
      </w:r>
      <w:r w:rsidRPr="000B2F19">
        <w:rPr>
          <w:sz w:val="23"/>
          <w:szCs w:val="23"/>
        </w:rPr>
        <w:t>. No later than 10 days after service of the Non-Moving Party’s Response, the moving party shall serve on the non</w:t>
      </w:r>
      <w:r w:rsidRPr="000B2F19">
        <w:rPr>
          <w:sz w:val="23"/>
          <w:szCs w:val="23"/>
        </w:rPr>
        <w:softHyphen/>
        <w:t xml:space="preserve">moving party and file with the Court a written reply (“Moving Party’s Reply”) responding to each objection, stating whether the moving party concurs with each particular objection or, if not, citing contrary authority, if applicable.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Moving Party’s Response to Non-Moving Party’s Response</w:t>
      </w:r>
      <w:r w:rsidRPr="000B2F19">
        <w:rPr>
          <w:sz w:val="23"/>
          <w:szCs w:val="23"/>
        </w:rPr>
        <w:t>. No later than 10 days after service of the Non-Moving Party’s Response, the moving party shall serve on the non</w:t>
      </w:r>
      <w:r w:rsidRPr="000B2F19">
        <w:rPr>
          <w:sz w:val="23"/>
          <w:szCs w:val="23"/>
        </w:rPr>
        <w:softHyphen/>
        <w:t xml:space="preserve">moving party and </w:t>
      </w:r>
      <w:r w:rsidRPr="000B2F19">
        <w:rPr>
          <w:sz w:val="23"/>
          <w:szCs w:val="23"/>
        </w:rPr>
        <w:lastRenderedPageBreak/>
        <w:t xml:space="preserve">file with the Court a written reply (“Moving Party’s Reply”) responding to each objection, stating whether the moving party concurs with each particular objection or, if not, citing contrary authority, if applicable.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Additional Document Production Requirements</w:t>
      </w:r>
      <w:r w:rsidRPr="000B2F19">
        <w:rPr>
          <w:sz w:val="23"/>
          <w:szCs w:val="23"/>
        </w:rPr>
        <w:t xml:space="preserve">. Upon informal written request, the moving party shall, within seven days of receipt of such request, make available to the non-moving party all invoices, attorney and paralegal time records, cancelled checks, and other supporting documentation evidencing services rendered. </w:t>
      </w:r>
    </w:p>
    <w:p w:rsidR="00E92C7E" w:rsidRPr="000B2F19" w:rsidRDefault="00E92C7E" w:rsidP="00E92C7E">
      <w:pPr>
        <w:pStyle w:val="Default"/>
        <w:numPr>
          <w:ilvl w:val="0"/>
          <w:numId w:val="27"/>
        </w:numPr>
        <w:ind w:left="360" w:hanging="360"/>
        <w:jc w:val="both"/>
        <w:rPr>
          <w:sz w:val="23"/>
          <w:szCs w:val="23"/>
        </w:rPr>
      </w:pPr>
      <w:r w:rsidRPr="000B2F19">
        <w:rPr>
          <w:b/>
          <w:bCs/>
          <w:sz w:val="23"/>
          <w:szCs w:val="23"/>
          <w:u w:val="single"/>
        </w:rPr>
        <w:t>Discovery</w:t>
      </w:r>
      <w:r w:rsidRPr="000B2F19">
        <w:rPr>
          <w:sz w:val="23"/>
          <w:szCs w:val="23"/>
        </w:rPr>
        <w:t xml:space="preserve">. In preparation for the Fee Hearing, the parties may conduct limited discovery on an expedited basis. Responses and objections to any discovery request(s) served on a party (including discovery as to experts) shall be served no later than 15 business days after receipt of such request(s). Depositions may be scheduled on no less than ten business days notice to the opposing party. If (a) either party fails to timely respond to a discovery request, (b) either party or any of such party’s witnesses expected to testify at trial fails to appear for deposition, or (c) a discovery issue arises during any deposition, the Court will consider any appropriately filed motion to compel or motion for protective order on an expedited basis. Any discovery motion filed with the Court </w:t>
      </w:r>
      <w:r w:rsidRPr="000B2F19">
        <w:rPr>
          <w:sz w:val="23"/>
          <w:szCs w:val="23"/>
          <w:u w:val="single"/>
        </w:rPr>
        <w:t xml:space="preserve">must </w:t>
      </w:r>
      <w:r w:rsidRPr="000B2F19">
        <w:rPr>
          <w:sz w:val="23"/>
          <w:szCs w:val="23"/>
        </w:rPr>
        <w:t xml:space="preserve">contain a certification that the moving party attempted to reach an amicable resolution of the dispute prior to filing the motion and must set forth in detail such efforts. </w:t>
      </w:r>
    </w:p>
    <w:p w:rsidR="00E92C7E" w:rsidRPr="00E92C7E" w:rsidRDefault="00E92C7E" w:rsidP="00E92C7E">
      <w:pPr>
        <w:pStyle w:val="Default"/>
      </w:pP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Deadline to Designate Expert Witnesses</w:t>
      </w:r>
      <w:r w:rsidRPr="000B2F19">
        <w:rPr>
          <w:sz w:val="23"/>
          <w:szCs w:val="23"/>
        </w:rPr>
        <w:t xml:space="preserve">. No later than </w:t>
      </w:r>
      <w:r>
        <w:rPr>
          <w:sz w:val="23"/>
          <w:szCs w:val="23"/>
        </w:rPr>
        <w:t>____</w:t>
      </w:r>
      <w:r w:rsidRPr="000B2F19">
        <w:rPr>
          <w:sz w:val="23"/>
          <w:szCs w:val="23"/>
        </w:rPr>
        <w:t xml:space="preserve"> days after the date of this Order, the parties shall designate any and all expert witnesses expected to testify at the Fee Hearing. All parties are under a continuing duty to supplement their respective answers to any interrogatories propounded to and served upon them pursuant to Rule 1.280(b)(4), Florida Rules of Civil Procedure, for the exclusive purpose of providing complete and current answers to all interrogatories requesting all expert witness information. Any expert witness not disclosed as provided by this Order will not be allowed to testify nor will the deposition of any expert witness not disclosed be admissible as evidence at the Fee Hearing, absent further order of this Court.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Discovery Deadline</w:t>
      </w:r>
      <w:r w:rsidRPr="000B2F19">
        <w:rPr>
          <w:sz w:val="23"/>
          <w:szCs w:val="23"/>
        </w:rPr>
        <w:t xml:space="preserve">. All discovery in connection with the Fee Hearing shall be completed no later than </w:t>
      </w:r>
      <w:r>
        <w:rPr>
          <w:sz w:val="23"/>
          <w:szCs w:val="23"/>
        </w:rPr>
        <w:t>_______</w:t>
      </w:r>
      <w:r w:rsidRPr="000B2F19">
        <w:rPr>
          <w:sz w:val="23"/>
          <w:szCs w:val="23"/>
        </w:rPr>
        <w:t xml:space="preserve"> days before the Fee Hearing. The conduct of discovery subsequent thereto will be permitted only on the order of the Court for good cause shown and which will not delay the Fee Hearing.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Meeting of Parties/Counsel and Pre-Hearing Stipulations</w:t>
      </w:r>
      <w:r w:rsidRPr="000B2F19">
        <w:rPr>
          <w:sz w:val="23"/>
          <w:szCs w:val="23"/>
        </w:rPr>
        <w:t xml:space="preserve">. No later than five business days immediately preceding the Fee Hearing, the attorneys for the parties shall meet together and review the disputed request for fees/time entries and items of costs to determine the amount of fees and costs in dispute, reduce any stipulations/agreements in addition to those reached pursuant to paragraphs 6 through 8 above to writing, and agree to an order incorporating such stipulations/agreements. </w:t>
      </w:r>
    </w:p>
    <w:p w:rsidR="00E92C7E" w:rsidRPr="000B2F19" w:rsidRDefault="00E92C7E" w:rsidP="00E92C7E">
      <w:pPr>
        <w:pStyle w:val="Default"/>
        <w:numPr>
          <w:ilvl w:val="0"/>
          <w:numId w:val="27"/>
        </w:numPr>
        <w:spacing w:after="202"/>
        <w:ind w:left="360" w:hanging="360"/>
        <w:jc w:val="both"/>
        <w:rPr>
          <w:sz w:val="23"/>
          <w:szCs w:val="23"/>
        </w:rPr>
      </w:pPr>
      <w:r w:rsidRPr="000B2F19">
        <w:rPr>
          <w:b/>
          <w:bCs/>
          <w:sz w:val="23"/>
          <w:szCs w:val="23"/>
          <w:u w:val="single"/>
        </w:rPr>
        <w:t>SUGTC to Govern</w:t>
      </w:r>
      <w:r w:rsidRPr="000B2F19">
        <w:rPr>
          <w:sz w:val="23"/>
          <w:szCs w:val="23"/>
        </w:rPr>
        <w:t xml:space="preserve">. The Statewide Uniform Guidelines for Taxation of Costs in Civil Actions (SUGTC) shall be utilized by counsel in attempting to resolve disputes over the taxation of costs. </w:t>
      </w:r>
    </w:p>
    <w:p w:rsidR="00E92C7E" w:rsidRPr="000B2F19" w:rsidRDefault="00E92C7E" w:rsidP="00E92C7E">
      <w:pPr>
        <w:pStyle w:val="Default"/>
        <w:numPr>
          <w:ilvl w:val="0"/>
          <w:numId w:val="27"/>
        </w:numPr>
        <w:ind w:left="360" w:hanging="360"/>
        <w:jc w:val="both"/>
        <w:rPr>
          <w:sz w:val="23"/>
          <w:szCs w:val="23"/>
        </w:rPr>
      </w:pPr>
      <w:r w:rsidRPr="000B2F19">
        <w:rPr>
          <w:b/>
          <w:bCs/>
          <w:sz w:val="23"/>
          <w:szCs w:val="23"/>
          <w:u w:val="single"/>
        </w:rPr>
        <w:t>Sanctions</w:t>
      </w:r>
      <w:r w:rsidRPr="000B2F19">
        <w:rPr>
          <w:sz w:val="23"/>
          <w:szCs w:val="23"/>
        </w:rPr>
        <w:t xml:space="preserve">. Counsel and the parties are directed to exercise good faith in complying with the terms of this Order. Good faith does </w:t>
      </w:r>
      <w:r w:rsidRPr="000B2F19">
        <w:rPr>
          <w:sz w:val="23"/>
          <w:szCs w:val="23"/>
          <w:u w:val="single"/>
        </w:rPr>
        <w:t xml:space="preserve">not </w:t>
      </w:r>
      <w:r w:rsidRPr="000B2F19">
        <w:rPr>
          <w:sz w:val="23"/>
          <w:szCs w:val="23"/>
        </w:rPr>
        <w:t xml:space="preserve">encompass general or blanket denials or objections. The Court may consider appropriate sanctions with regard to unreasonable requests for attorneys’ fees and taxation of costs, objections thereto, or failure to comply with this Order. Failure of any party to comply with the terms of this Order may result in involuntary dismissal, default judgment, or other </w:t>
      </w:r>
      <w:r w:rsidRPr="000B2F19">
        <w:rPr>
          <w:sz w:val="23"/>
          <w:szCs w:val="23"/>
        </w:rPr>
        <w:lastRenderedPageBreak/>
        <w:t xml:space="preserve">appropriate sanctions including a monetary assessment as provided by the Florida Rules of Civil Procedure. </w:t>
      </w:r>
    </w:p>
    <w:p w:rsidR="00E92C7E" w:rsidRPr="000B2F19" w:rsidRDefault="00E92C7E" w:rsidP="00E92C7E">
      <w:pPr>
        <w:jc w:val="both"/>
        <w:rPr>
          <w:rFonts w:cs="Times New Roman"/>
        </w:rPr>
      </w:pPr>
    </w:p>
    <w:p w:rsidR="00E92C7E" w:rsidRPr="000B2F19" w:rsidRDefault="00E92C7E" w:rsidP="00E92C7E">
      <w:pPr>
        <w:pStyle w:val="CM3"/>
        <w:spacing w:after="1105"/>
        <w:ind w:firstLine="720"/>
        <w:jc w:val="both"/>
        <w:rPr>
          <w:color w:val="000000"/>
          <w:sz w:val="23"/>
          <w:szCs w:val="23"/>
        </w:rPr>
      </w:pPr>
      <w:r w:rsidRPr="000B2F19">
        <w:rPr>
          <w:b/>
          <w:bCs/>
          <w:color w:val="000000"/>
          <w:sz w:val="23"/>
          <w:szCs w:val="23"/>
        </w:rPr>
        <w:t>DONE AND ORDERED</w:t>
      </w:r>
      <w:r w:rsidR="005D0EDE">
        <w:rPr>
          <w:b/>
          <w:bCs/>
          <w:color w:val="000000"/>
          <w:sz w:val="23"/>
          <w:szCs w:val="23"/>
        </w:rPr>
        <w:t>: _________________________.</w:t>
      </w:r>
      <w:r w:rsidRPr="000B2F19">
        <w:rPr>
          <w:color w:val="000000"/>
          <w:sz w:val="23"/>
          <w:szCs w:val="23"/>
        </w:rPr>
        <w:t xml:space="preserve"> </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t>____________________________</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00E92C7E" w:rsidRPr="005D0EDE">
        <w:rPr>
          <w:rFonts w:ascii="Times New Roman" w:hAnsi="Times New Roman" w:cs="Times New Roman"/>
          <w:caps/>
        </w:rPr>
        <w:t>Elizabeth G. Rice</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r>
      <w:r w:rsidRPr="006376F5">
        <w:rPr>
          <w:rFonts w:ascii="Times New Roman" w:hAnsi="Times New Roman" w:cs="Times New Roman"/>
        </w:rPr>
        <w:tab/>
        <w:t xml:space="preserve">Circuit </w:t>
      </w:r>
      <w:r w:rsidR="005D0EDE">
        <w:rPr>
          <w:rFonts w:ascii="Times New Roman" w:hAnsi="Times New Roman" w:cs="Times New Roman"/>
        </w:rPr>
        <w:t xml:space="preserve">Court </w:t>
      </w:r>
      <w:r w:rsidRPr="006376F5">
        <w:rPr>
          <w:rFonts w:ascii="Times New Roman" w:hAnsi="Times New Roman" w:cs="Times New Roman"/>
        </w:rPr>
        <w:t>Judge</w:t>
      </w:r>
    </w:p>
    <w:p w:rsidR="006376F5" w:rsidRPr="006376F5" w:rsidRDefault="006376F5" w:rsidP="006376F5">
      <w:pPr>
        <w:jc w:val="both"/>
        <w:rPr>
          <w:rFonts w:ascii="Times New Roman" w:hAnsi="Times New Roman" w:cs="Times New Roman"/>
        </w:rPr>
      </w:pPr>
      <w:r w:rsidRPr="006376F5">
        <w:rPr>
          <w:rFonts w:ascii="Times New Roman" w:hAnsi="Times New Roman" w:cs="Times New Roman"/>
        </w:rPr>
        <w:t>Copies Furnished To:</w:t>
      </w:r>
    </w:p>
    <w:p w:rsidR="00E92C7E" w:rsidRPr="00E92C7E" w:rsidRDefault="00E92C7E" w:rsidP="00E92C7E">
      <w:pPr>
        <w:jc w:val="both"/>
        <w:rPr>
          <w:rFonts w:ascii="Times New Roman" w:hAnsi="Times New Roman" w:cs="Times New Roman"/>
          <w:color w:val="000000"/>
        </w:rPr>
      </w:pPr>
      <w:r w:rsidRPr="00E92C7E">
        <w:rPr>
          <w:rFonts w:ascii="Times New Roman" w:hAnsi="Times New Roman" w:cs="Times New Roman"/>
          <w:color w:val="000000"/>
        </w:rPr>
        <w:t>Plaintiff</w:t>
      </w:r>
      <w:r>
        <w:rPr>
          <w:rFonts w:ascii="Times New Roman" w:hAnsi="Times New Roman" w:cs="Times New Roman"/>
          <w:color w:val="000000"/>
        </w:rPr>
        <w:t>s</w:t>
      </w:r>
      <w:r w:rsidRPr="00E92C7E">
        <w:rPr>
          <w:rFonts w:ascii="Times New Roman" w:hAnsi="Times New Roman" w:cs="Times New Roman"/>
          <w:color w:val="000000"/>
        </w:rPr>
        <w:t xml:space="preserve">’ Attorney </w:t>
      </w:r>
    </w:p>
    <w:p w:rsidR="00E92C7E" w:rsidRPr="00E92C7E" w:rsidRDefault="00E92C7E" w:rsidP="00E92C7E">
      <w:pPr>
        <w:jc w:val="both"/>
        <w:rPr>
          <w:rFonts w:ascii="Times New Roman" w:hAnsi="Times New Roman" w:cs="Times New Roman"/>
        </w:rPr>
      </w:pPr>
      <w:r w:rsidRPr="00E92C7E">
        <w:rPr>
          <w:rFonts w:ascii="Times New Roman" w:hAnsi="Times New Roman" w:cs="Times New Roman"/>
          <w:color w:val="000000"/>
        </w:rPr>
        <w:t>Defendant’s Attorney</w:t>
      </w:r>
    </w:p>
    <w:p w:rsidR="005B7351" w:rsidRPr="00833191" w:rsidRDefault="005B7351" w:rsidP="00833191">
      <w:pPr>
        <w:widowControl/>
        <w:adjustRightInd/>
        <w:rPr>
          <w:rFonts w:ascii="Times New Roman" w:hAnsi="Times New Roman" w:cs="Times New Roman"/>
        </w:rPr>
      </w:pPr>
    </w:p>
    <w:sectPr w:rsidR="005B7351" w:rsidRPr="00833191" w:rsidSect="001E259E">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7E" w:rsidRDefault="00E92C7E" w:rsidP="00965A77">
      <w:r>
        <w:separator/>
      </w:r>
    </w:p>
  </w:endnote>
  <w:endnote w:type="continuationSeparator" w:id="0">
    <w:p w:rsidR="00E92C7E" w:rsidRDefault="00E92C7E" w:rsidP="0096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szCs w:val="22"/>
      </w:rPr>
      <w:id w:val="1715772147"/>
      <w:docPartObj>
        <w:docPartGallery w:val="Page Numbers (Bottom of Page)"/>
        <w:docPartUnique/>
      </w:docPartObj>
    </w:sdtPr>
    <w:sdtEndPr/>
    <w:sdtContent>
      <w:sdt>
        <w:sdtPr>
          <w:rPr>
            <w:rFonts w:ascii="Times New Roman" w:hAnsi="Times New Roman" w:cs="Times New Roman"/>
            <w:sz w:val="22"/>
            <w:szCs w:val="22"/>
          </w:rPr>
          <w:id w:val="-1705238520"/>
          <w:docPartObj>
            <w:docPartGallery w:val="Page Numbers (Top of Page)"/>
            <w:docPartUnique/>
          </w:docPartObj>
        </w:sdtPr>
        <w:sdtEndPr/>
        <w:sdtContent>
          <w:p w:rsidR="00231430" w:rsidRPr="00231430" w:rsidRDefault="00231430" w:rsidP="00231430">
            <w:pPr>
              <w:pStyle w:val="Footer"/>
              <w:jc w:val="center"/>
              <w:rPr>
                <w:rFonts w:ascii="Times New Roman" w:hAnsi="Times New Roman" w:cs="Times New Roman"/>
                <w:sz w:val="22"/>
                <w:szCs w:val="22"/>
              </w:rPr>
            </w:pPr>
            <w:r w:rsidRPr="00231430">
              <w:rPr>
                <w:rFonts w:ascii="Times New Roman" w:hAnsi="Times New Roman" w:cs="Times New Roman"/>
                <w:sz w:val="22"/>
                <w:szCs w:val="22"/>
              </w:rPr>
              <w:t xml:space="preserve">Page </w:t>
            </w:r>
            <w:r w:rsidRPr="00231430">
              <w:rPr>
                <w:rFonts w:ascii="Times New Roman" w:hAnsi="Times New Roman" w:cs="Times New Roman"/>
                <w:b/>
                <w:bCs/>
                <w:sz w:val="22"/>
                <w:szCs w:val="22"/>
              </w:rPr>
              <w:fldChar w:fldCharType="begin"/>
            </w:r>
            <w:r w:rsidRPr="00231430">
              <w:rPr>
                <w:rFonts w:ascii="Times New Roman" w:hAnsi="Times New Roman" w:cs="Times New Roman"/>
                <w:b/>
                <w:bCs/>
                <w:sz w:val="22"/>
                <w:szCs w:val="22"/>
              </w:rPr>
              <w:instrText xml:space="preserve"> PAGE </w:instrText>
            </w:r>
            <w:r w:rsidRPr="00231430">
              <w:rPr>
                <w:rFonts w:ascii="Times New Roman" w:hAnsi="Times New Roman" w:cs="Times New Roman"/>
                <w:b/>
                <w:bCs/>
                <w:sz w:val="22"/>
                <w:szCs w:val="22"/>
              </w:rPr>
              <w:fldChar w:fldCharType="separate"/>
            </w:r>
            <w:r w:rsidR="00E67E2C">
              <w:rPr>
                <w:rFonts w:ascii="Times New Roman" w:hAnsi="Times New Roman" w:cs="Times New Roman"/>
                <w:b/>
                <w:bCs/>
                <w:noProof/>
                <w:sz w:val="22"/>
                <w:szCs w:val="22"/>
              </w:rPr>
              <w:t>4</w:t>
            </w:r>
            <w:r w:rsidRPr="00231430">
              <w:rPr>
                <w:rFonts w:ascii="Times New Roman" w:hAnsi="Times New Roman" w:cs="Times New Roman"/>
                <w:b/>
                <w:bCs/>
                <w:sz w:val="22"/>
                <w:szCs w:val="22"/>
              </w:rPr>
              <w:fldChar w:fldCharType="end"/>
            </w:r>
            <w:r w:rsidRPr="00231430">
              <w:rPr>
                <w:rFonts w:ascii="Times New Roman" w:hAnsi="Times New Roman" w:cs="Times New Roman"/>
                <w:sz w:val="22"/>
                <w:szCs w:val="22"/>
              </w:rPr>
              <w:t xml:space="preserve"> of </w:t>
            </w:r>
            <w:r w:rsidRPr="00231430">
              <w:rPr>
                <w:rFonts w:ascii="Times New Roman" w:hAnsi="Times New Roman" w:cs="Times New Roman"/>
                <w:b/>
                <w:bCs/>
                <w:sz w:val="22"/>
                <w:szCs w:val="22"/>
              </w:rPr>
              <w:fldChar w:fldCharType="begin"/>
            </w:r>
            <w:r w:rsidRPr="00231430">
              <w:rPr>
                <w:rFonts w:ascii="Times New Roman" w:hAnsi="Times New Roman" w:cs="Times New Roman"/>
                <w:b/>
                <w:bCs/>
                <w:sz w:val="22"/>
                <w:szCs w:val="22"/>
              </w:rPr>
              <w:instrText xml:space="preserve"> NUMPAGES  </w:instrText>
            </w:r>
            <w:r w:rsidRPr="00231430">
              <w:rPr>
                <w:rFonts w:ascii="Times New Roman" w:hAnsi="Times New Roman" w:cs="Times New Roman"/>
                <w:b/>
                <w:bCs/>
                <w:sz w:val="22"/>
                <w:szCs w:val="22"/>
              </w:rPr>
              <w:fldChar w:fldCharType="separate"/>
            </w:r>
            <w:r w:rsidR="00E67E2C">
              <w:rPr>
                <w:rFonts w:ascii="Times New Roman" w:hAnsi="Times New Roman" w:cs="Times New Roman"/>
                <w:b/>
                <w:bCs/>
                <w:noProof/>
                <w:sz w:val="22"/>
                <w:szCs w:val="22"/>
              </w:rPr>
              <w:t>4</w:t>
            </w:r>
            <w:r w:rsidRPr="00231430">
              <w:rPr>
                <w:rFonts w:ascii="Times New Roman" w:hAnsi="Times New Roman" w:cs="Times New Roman"/>
                <w:b/>
                <w:bCs/>
                <w:sz w:val="22"/>
                <w:szCs w:val="22"/>
              </w:rPr>
              <w:fldChar w:fldCharType="end"/>
            </w:r>
          </w:p>
        </w:sdtContent>
      </w:sdt>
    </w:sdtContent>
  </w:sdt>
  <w:p w:rsidR="00E92C7E" w:rsidRPr="00C94AAC" w:rsidRDefault="00E92C7E" w:rsidP="00C94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075013"/>
      <w:docPartObj>
        <w:docPartGallery w:val="Page Numbers (Bottom of Page)"/>
        <w:docPartUnique/>
      </w:docPartObj>
    </w:sdtPr>
    <w:sdtEndPr>
      <w:rPr>
        <w:rFonts w:ascii="Times New Roman" w:hAnsi="Times New Roman" w:cs="Times New Roman"/>
        <w:sz w:val="22"/>
        <w:szCs w:val="22"/>
      </w:rPr>
    </w:sdtEndPr>
    <w:sdtContent>
      <w:sdt>
        <w:sdtPr>
          <w:id w:val="1728636285"/>
          <w:docPartObj>
            <w:docPartGallery w:val="Page Numbers (Top of Page)"/>
            <w:docPartUnique/>
          </w:docPartObj>
        </w:sdtPr>
        <w:sdtEndPr>
          <w:rPr>
            <w:rFonts w:ascii="Times New Roman" w:hAnsi="Times New Roman" w:cs="Times New Roman"/>
            <w:sz w:val="22"/>
            <w:szCs w:val="22"/>
          </w:rPr>
        </w:sdtEndPr>
        <w:sdtContent>
          <w:p w:rsidR="00231430" w:rsidRDefault="00E67E2C" w:rsidP="00E67E2C">
            <w:pPr>
              <w:pStyle w:val="Footer"/>
            </w:pPr>
            <w:r w:rsidRPr="00E67E2C">
              <w:rPr>
                <w:rFonts w:ascii="Times New Roman" w:hAnsi="Times New Roman"/>
                <w:sz w:val="16"/>
              </w:rPr>
              <w:t>Revised 02/15/17</w:t>
            </w:r>
            <w:r w:rsidRPr="00E67E2C">
              <w:rPr>
                <w:rFonts w:ascii="Times New Roman" w:hAnsi="Times New Roman"/>
                <w:sz w:val="16"/>
              </w:rPr>
              <w:tab/>
            </w:r>
            <w:r w:rsidR="00231430" w:rsidRPr="00231430">
              <w:rPr>
                <w:rFonts w:ascii="Times New Roman" w:hAnsi="Times New Roman" w:cs="Times New Roman"/>
                <w:sz w:val="22"/>
                <w:szCs w:val="22"/>
              </w:rPr>
              <w:t xml:space="preserve">Page </w:t>
            </w:r>
            <w:r w:rsidR="00231430" w:rsidRPr="00231430">
              <w:rPr>
                <w:rFonts w:ascii="Times New Roman" w:hAnsi="Times New Roman" w:cs="Times New Roman"/>
                <w:b/>
                <w:bCs/>
                <w:sz w:val="22"/>
                <w:szCs w:val="22"/>
              </w:rPr>
              <w:fldChar w:fldCharType="begin"/>
            </w:r>
            <w:r w:rsidR="00231430" w:rsidRPr="00231430">
              <w:rPr>
                <w:rFonts w:ascii="Times New Roman" w:hAnsi="Times New Roman" w:cs="Times New Roman"/>
                <w:b/>
                <w:bCs/>
                <w:sz w:val="22"/>
                <w:szCs w:val="22"/>
              </w:rPr>
              <w:instrText xml:space="preserve"> PAGE </w:instrText>
            </w:r>
            <w:r w:rsidR="00231430" w:rsidRPr="00231430">
              <w:rPr>
                <w:rFonts w:ascii="Times New Roman" w:hAnsi="Times New Roman" w:cs="Times New Roman"/>
                <w:b/>
                <w:bCs/>
                <w:sz w:val="22"/>
                <w:szCs w:val="22"/>
              </w:rPr>
              <w:fldChar w:fldCharType="separate"/>
            </w:r>
            <w:r>
              <w:rPr>
                <w:rFonts w:ascii="Times New Roman" w:hAnsi="Times New Roman" w:cs="Times New Roman"/>
                <w:b/>
                <w:bCs/>
                <w:noProof/>
                <w:sz w:val="22"/>
                <w:szCs w:val="22"/>
              </w:rPr>
              <w:t>1</w:t>
            </w:r>
            <w:r w:rsidR="00231430" w:rsidRPr="00231430">
              <w:rPr>
                <w:rFonts w:ascii="Times New Roman" w:hAnsi="Times New Roman" w:cs="Times New Roman"/>
                <w:b/>
                <w:bCs/>
                <w:sz w:val="22"/>
                <w:szCs w:val="22"/>
              </w:rPr>
              <w:fldChar w:fldCharType="end"/>
            </w:r>
            <w:r w:rsidR="00231430" w:rsidRPr="00231430">
              <w:rPr>
                <w:rFonts w:ascii="Times New Roman" w:hAnsi="Times New Roman" w:cs="Times New Roman"/>
                <w:sz w:val="22"/>
                <w:szCs w:val="22"/>
              </w:rPr>
              <w:t xml:space="preserve"> of </w:t>
            </w:r>
            <w:r w:rsidR="00231430" w:rsidRPr="00231430">
              <w:rPr>
                <w:rFonts w:ascii="Times New Roman" w:hAnsi="Times New Roman" w:cs="Times New Roman"/>
                <w:b/>
                <w:bCs/>
                <w:sz w:val="22"/>
                <w:szCs w:val="22"/>
              </w:rPr>
              <w:fldChar w:fldCharType="begin"/>
            </w:r>
            <w:r w:rsidR="00231430" w:rsidRPr="00231430">
              <w:rPr>
                <w:rFonts w:ascii="Times New Roman" w:hAnsi="Times New Roman" w:cs="Times New Roman"/>
                <w:b/>
                <w:bCs/>
                <w:sz w:val="22"/>
                <w:szCs w:val="22"/>
              </w:rPr>
              <w:instrText xml:space="preserve"> NUMPAGES  </w:instrText>
            </w:r>
            <w:r w:rsidR="00231430" w:rsidRPr="00231430">
              <w:rPr>
                <w:rFonts w:ascii="Times New Roman" w:hAnsi="Times New Roman" w:cs="Times New Roman"/>
                <w:b/>
                <w:bCs/>
                <w:sz w:val="22"/>
                <w:szCs w:val="22"/>
              </w:rPr>
              <w:fldChar w:fldCharType="separate"/>
            </w:r>
            <w:r>
              <w:rPr>
                <w:rFonts w:ascii="Times New Roman" w:hAnsi="Times New Roman" w:cs="Times New Roman"/>
                <w:b/>
                <w:bCs/>
                <w:noProof/>
                <w:sz w:val="22"/>
                <w:szCs w:val="22"/>
              </w:rPr>
              <w:t>4</w:t>
            </w:r>
            <w:r w:rsidR="00231430" w:rsidRPr="00231430">
              <w:rPr>
                <w:rFonts w:ascii="Times New Roman" w:hAnsi="Times New Roman" w:cs="Times New Roman"/>
                <w:b/>
                <w:bCs/>
                <w:sz w:val="22"/>
                <w:szCs w:val="22"/>
              </w:rPr>
              <w:fldChar w:fldCharType="end"/>
            </w:r>
          </w:p>
        </w:sdtContent>
      </w:sdt>
    </w:sdtContent>
  </w:sdt>
  <w:p w:rsidR="00C94AAC" w:rsidRDefault="00C94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7E" w:rsidRDefault="00E92C7E" w:rsidP="00965A77">
      <w:r>
        <w:separator/>
      </w:r>
    </w:p>
  </w:footnote>
  <w:footnote w:type="continuationSeparator" w:id="0">
    <w:p w:rsidR="00E92C7E" w:rsidRDefault="00E92C7E" w:rsidP="00965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E7E"/>
    <w:multiLevelType w:val="hybridMultilevel"/>
    <w:tmpl w:val="9A44D05A"/>
    <w:lvl w:ilvl="0" w:tplc="27428A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B29BB"/>
    <w:multiLevelType w:val="hybridMultilevel"/>
    <w:tmpl w:val="E11EE1AE"/>
    <w:lvl w:ilvl="0" w:tplc="8F38EC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9F79A2"/>
    <w:multiLevelType w:val="hybridMultilevel"/>
    <w:tmpl w:val="9F42480A"/>
    <w:lvl w:ilvl="0" w:tplc="2B1883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A302A4"/>
    <w:multiLevelType w:val="hybridMultilevel"/>
    <w:tmpl w:val="5C3CFA7E"/>
    <w:lvl w:ilvl="0" w:tplc="67DE3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4F3929"/>
    <w:multiLevelType w:val="hybridMultilevel"/>
    <w:tmpl w:val="0B9A5352"/>
    <w:lvl w:ilvl="0" w:tplc="FA867E9A">
      <w:start w:val="7"/>
      <w:numFmt w:val="decimal"/>
      <w:lvlText w:val="%1."/>
      <w:lvlJc w:val="left"/>
      <w:pPr>
        <w:tabs>
          <w:tab w:val="num" w:pos="1530"/>
        </w:tabs>
        <w:ind w:left="1530" w:hanging="720"/>
      </w:pPr>
      <w:rPr>
        <w:b w:val="0"/>
      </w:rPr>
    </w:lvl>
    <w:lvl w:ilvl="1" w:tplc="04090019">
      <w:start w:val="1"/>
      <w:numFmt w:val="decimal"/>
      <w:lvlText w:val="%2."/>
      <w:lvlJc w:val="left"/>
      <w:pPr>
        <w:tabs>
          <w:tab w:val="num" w:pos="1440"/>
        </w:tabs>
        <w:ind w:left="1440" w:hanging="360"/>
      </w:pPr>
    </w:lvl>
    <w:lvl w:ilvl="2" w:tplc="D040C6B8">
      <w:start w:val="1"/>
      <w:numFmt w:val="lowerLetter"/>
      <w:lvlText w:val="%3."/>
      <w:lvlJc w:val="left"/>
      <w:pPr>
        <w:tabs>
          <w:tab w:val="num" w:pos="2160"/>
        </w:tabs>
        <w:ind w:left="216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20438F"/>
    <w:multiLevelType w:val="hybridMultilevel"/>
    <w:tmpl w:val="B75E15E0"/>
    <w:lvl w:ilvl="0" w:tplc="B3DA5B22">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0610221"/>
    <w:multiLevelType w:val="hybridMultilevel"/>
    <w:tmpl w:val="97865D58"/>
    <w:lvl w:ilvl="0" w:tplc="82A2E9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E02C0"/>
    <w:multiLevelType w:val="hybridMultilevel"/>
    <w:tmpl w:val="4FF281EA"/>
    <w:lvl w:ilvl="0" w:tplc="7D2227C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0754E"/>
    <w:multiLevelType w:val="hybridMultilevel"/>
    <w:tmpl w:val="2C563700"/>
    <w:lvl w:ilvl="0" w:tplc="4D703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FD0EDD"/>
    <w:multiLevelType w:val="hybridMultilevel"/>
    <w:tmpl w:val="ACC237AE"/>
    <w:lvl w:ilvl="0" w:tplc="A93033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64575A"/>
    <w:multiLevelType w:val="hybridMultilevel"/>
    <w:tmpl w:val="1CE6E67E"/>
    <w:lvl w:ilvl="0" w:tplc="9BEC51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7F67F3"/>
    <w:multiLevelType w:val="hybridMultilevel"/>
    <w:tmpl w:val="FD961638"/>
    <w:lvl w:ilvl="0" w:tplc="A552C4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8304E1"/>
    <w:multiLevelType w:val="hybridMultilevel"/>
    <w:tmpl w:val="8DBA8B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9611624"/>
    <w:multiLevelType w:val="hybridMultilevel"/>
    <w:tmpl w:val="10109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9C113B9"/>
    <w:multiLevelType w:val="hybridMultilevel"/>
    <w:tmpl w:val="2E56192C"/>
    <w:lvl w:ilvl="0" w:tplc="F49C863E">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2000548">
      <w:start w:val="1"/>
      <w:numFmt w:val="lowerLetter"/>
      <w:lvlText w:val="(%3)"/>
      <w:lvlJc w:val="left"/>
      <w:pPr>
        <w:tabs>
          <w:tab w:val="num" w:pos="3195"/>
        </w:tabs>
        <w:ind w:left="3195" w:hanging="855"/>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B033E17"/>
    <w:multiLevelType w:val="hybridMultilevel"/>
    <w:tmpl w:val="40D82F5C"/>
    <w:lvl w:ilvl="0" w:tplc="3EE42066">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C82263"/>
    <w:multiLevelType w:val="hybridMultilevel"/>
    <w:tmpl w:val="AE94F84E"/>
    <w:lvl w:ilvl="0" w:tplc="38F22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CDDEA4"/>
    <w:multiLevelType w:val="hybridMultilevel"/>
    <w:tmpl w:val="A54E5344"/>
    <w:lvl w:ilvl="0" w:tplc="1BB8B2A8">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3592B0D"/>
    <w:multiLevelType w:val="hybridMultilevel"/>
    <w:tmpl w:val="C478AFC6"/>
    <w:lvl w:ilvl="0" w:tplc="917A57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B50386"/>
    <w:multiLevelType w:val="hybridMultilevel"/>
    <w:tmpl w:val="AADEB642"/>
    <w:lvl w:ilvl="0" w:tplc="E6000A82">
      <w:start w:val="8"/>
      <w:numFmt w:val="decimal"/>
      <w:lvlText w:val="%1."/>
      <w:lvlJc w:val="left"/>
      <w:pPr>
        <w:ind w:left="16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02116"/>
    <w:multiLevelType w:val="hybridMultilevel"/>
    <w:tmpl w:val="1092265E"/>
    <w:lvl w:ilvl="0" w:tplc="AFF6E8FA">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F4D9C"/>
    <w:multiLevelType w:val="hybridMultilevel"/>
    <w:tmpl w:val="858A9D50"/>
    <w:lvl w:ilvl="0" w:tplc="3BC45252">
      <w:start w:val="1"/>
      <w:numFmt w:val="decimal"/>
      <w:lvlText w:val="%1."/>
      <w:lvlJc w:val="left"/>
      <w:pPr>
        <w:tabs>
          <w:tab w:val="num" w:pos="720"/>
        </w:tabs>
        <w:ind w:left="0" w:firstLine="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E2260"/>
    <w:multiLevelType w:val="hybridMultilevel"/>
    <w:tmpl w:val="7598E4E0"/>
    <w:lvl w:ilvl="0" w:tplc="F2044CDC">
      <w:start w:val="6"/>
      <w:numFmt w:val="decimal"/>
      <w:lvlText w:val="%1."/>
      <w:lvlJc w:val="left"/>
      <w:pPr>
        <w:tabs>
          <w:tab w:val="num" w:pos="1440"/>
        </w:tabs>
        <w:ind w:left="1440" w:hanging="720"/>
      </w:pPr>
    </w:lvl>
    <w:lvl w:ilvl="1" w:tplc="F7B8DBF4">
      <w:start w:val="5"/>
      <w:numFmt w:val="lowerLetter"/>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13F0002"/>
    <w:multiLevelType w:val="hybridMultilevel"/>
    <w:tmpl w:val="696A9260"/>
    <w:lvl w:ilvl="0" w:tplc="20140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4945E88"/>
    <w:multiLevelType w:val="hybridMultilevel"/>
    <w:tmpl w:val="C986AAF8"/>
    <w:lvl w:ilvl="0" w:tplc="45A661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8BD623B"/>
    <w:multiLevelType w:val="hybridMultilevel"/>
    <w:tmpl w:val="5CCECC3C"/>
    <w:lvl w:ilvl="0" w:tplc="974A9A3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D2056A"/>
    <w:multiLevelType w:val="hybridMultilevel"/>
    <w:tmpl w:val="89E45864"/>
    <w:lvl w:ilvl="0" w:tplc="D8EA413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8"/>
  </w:num>
  <w:num w:numId="3">
    <w:abstractNumId w:val="9"/>
  </w:num>
  <w:num w:numId="4">
    <w:abstractNumId w:val="2"/>
  </w:num>
  <w:num w:numId="5">
    <w:abstractNumId w:val="1"/>
  </w:num>
  <w:num w:numId="6">
    <w:abstractNumId w:val="26"/>
  </w:num>
  <w:num w:numId="7">
    <w:abstractNumId w:val="5"/>
  </w:num>
  <w:num w:numId="8">
    <w:abstractNumId w:val="10"/>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24"/>
  </w:num>
  <w:num w:numId="18">
    <w:abstractNumId w:val="3"/>
  </w:num>
  <w:num w:numId="19">
    <w:abstractNumId w:val="21"/>
  </w:num>
  <w:num w:numId="20">
    <w:abstractNumId w:val="19"/>
  </w:num>
  <w:num w:numId="21">
    <w:abstractNumId w:val="7"/>
  </w:num>
  <w:num w:numId="22">
    <w:abstractNumId w:val="15"/>
  </w:num>
  <w:num w:numId="23">
    <w:abstractNumId w:val="23"/>
  </w:num>
  <w:num w:numId="24">
    <w:abstractNumId w:val="0"/>
  </w:num>
  <w:num w:numId="25">
    <w:abstractNumId w:val="11"/>
  </w:num>
  <w:num w:numId="26">
    <w:abstractNumId w:val="8"/>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5"/>
    <w:rsid w:val="000257DE"/>
    <w:rsid w:val="00034229"/>
    <w:rsid w:val="00044AB0"/>
    <w:rsid w:val="000720F9"/>
    <w:rsid w:val="000737E2"/>
    <w:rsid w:val="0008207D"/>
    <w:rsid w:val="0009437A"/>
    <w:rsid w:val="000A10B9"/>
    <w:rsid w:val="000A3701"/>
    <w:rsid w:val="000A6B93"/>
    <w:rsid w:val="000C0DDE"/>
    <w:rsid w:val="000D0B5B"/>
    <w:rsid w:val="000D76FC"/>
    <w:rsid w:val="0012272A"/>
    <w:rsid w:val="00125D77"/>
    <w:rsid w:val="00162B12"/>
    <w:rsid w:val="0018009A"/>
    <w:rsid w:val="00195EAE"/>
    <w:rsid w:val="00196A9E"/>
    <w:rsid w:val="001A74D7"/>
    <w:rsid w:val="001C1DFB"/>
    <w:rsid w:val="001E259E"/>
    <w:rsid w:val="001F11A1"/>
    <w:rsid w:val="00231430"/>
    <w:rsid w:val="0026062A"/>
    <w:rsid w:val="0026477C"/>
    <w:rsid w:val="00271D2D"/>
    <w:rsid w:val="00297E5E"/>
    <w:rsid w:val="0030073C"/>
    <w:rsid w:val="003206CA"/>
    <w:rsid w:val="00385AA7"/>
    <w:rsid w:val="003A61AD"/>
    <w:rsid w:val="003F777D"/>
    <w:rsid w:val="00412E65"/>
    <w:rsid w:val="0045751A"/>
    <w:rsid w:val="0047098A"/>
    <w:rsid w:val="00526032"/>
    <w:rsid w:val="00540B3C"/>
    <w:rsid w:val="00556005"/>
    <w:rsid w:val="005725E6"/>
    <w:rsid w:val="005728CF"/>
    <w:rsid w:val="00575F3E"/>
    <w:rsid w:val="005957C9"/>
    <w:rsid w:val="005A2F8A"/>
    <w:rsid w:val="005A4ED0"/>
    <w:rsid w:val="005B7351"/>
    <w:rsid w:val="005D0EDE"/>
    <w:rsid w:val="0061043C"/>
    <w:rsid w:val="006279EC"/>
    <w:rsid w:val="006376F5"/>
    <w:rsid w:val="00652310"/>
    <w:rsid w:val="006926FA"/>
    <w:rsid w:val="006E47C9"/>
    <w:rsid w:val="006E5ED5"/>
    <w:rsid w:val="006F26FC"/>
    <w:rsid w:val="00703946"/>
    <w:rsid w:val="00740530"/>
    <w:rsid w:val="00743823"/>
    <w:rsid w:val="00744DAF"/>
    <w:rsid w:val="007503EF"/>
    <w:rsid w:val="00752763"/>
    <w:rsid w:val="00771652"/>
    <w:rsid w:val="007E0BB7"/>
    <w:rsid w:val="007E4603"/>
    <w:rsid w:val="007F4FD3"/>
    <w:rsid w:val="008116F7"/>
    <w:rsid w:val="00824D12"/>
    <w:rsid w:val="00833191"/>
    <w:rsid w:val="0089086B"/>
    <w:rsid w:val="008932C9"/>
    <w:rsid w:val="008C2F7C"/>
    <w:rsid w:val="008D299D"/>
    <w:rsid w:val="008D3BDB"/>
    <w:rsid w:val="008F4A2E"/>
    <w:rsid w:val="008F5D0A"/>
    <w:rsid w:val="008F5E2F"/>
    <w:rsid w:val="0090160E"/>
    <w:rsid w:val="00902EDE"/>
    <w:rsid w:val="0091144B"/>
    <w:rsid w:val="0091657A"/>
    <w:rsid w:val="00916FD5"/>
    <w:rsid w:val="00917077"/>
    <w:rsid w:val="009376E9"/>
    <w:rsid w:val="009470E4"/>
    <w:rsid w:val="00965A77"/>
    <w:rsid w:val="009707C0"/>
    <w:rsid w:val="00971DB4"/>
    <w:rsid w:val="00981DEE"/>
    <w:rsid w:val="00990A23"/>
    <w:rsid w:val="009B1571"/>
    <w:rsid w:val="009B16CA"/>
    <w:rsid w:val="009B1C09"/>
    <w:rsid w:val="00A038B6"/>
    <w:rsid w:val="00A153AE"/>
    <w:rsid w:val="00A2496F"/>
    <w:rsid w:val="00A44768"/>
    <w:rsid w:val="00A66D54"/>
    <w:rsid w:val="00A86495"/>
    <w:rsid w:val="00AC5A17"/>
    <w:rsid w:val="00B379F8"/>
    <w:rsid w:val="00B42BC0"/>
    <w:rsid w:val="00B47A09"/>
    <w:rsid w:val="00B6250C"/>
    <w:rsid w:val="00B72655"/>
    <w:rsid w:val="00B76B2B"/>
    <w:rsid w:val="00BE7704"/>
    <w:rsid w:val="00C037CD"/>
    <w:rsid w:val="00C04AAE"/>
    <w:rsid w:val="00C0745F"/>
    <w:rsid w:val="00C3595D"/>
    <w:rsid w:val="00C80F5E"/>
    <w:rsid w:val="00C94AAC"/>
    <w:rsid w:val="00C96575"/>
    <w:rsid w:val="00CC05F5"/>
    <w:rsid w:val="00CC542E"/>
    <w:rsid w:val="00D14D92"/>
    <w:rsid w:val="00D267A3"/>
    <w:rsid w:val="00D410CA"/>
    <w:rsid w:val="00D56C7C"/>
    <w:rsid w:val="00D921D8"/>
    <w:rsid w:val="00D929A9"/>
    <w:rsid w:val="00DB542C"/>
    <w:rsid w:val="00DB7DB6"/>
    <w:rsid w:val="00DC6089"/>
    <w:rsid w:val="00DD4315"/>
    <w:rsid w:val="00DE60A2"/>
    <w:rsid w:val="00E104A1"/>
    <w:rsid w:val="00E22568"/>
    <w:rsid w:val="00E4502E"/>
    <w:rsid w:val="00E51900"/>
    <w:rsid w:val="00E67E2C"/>
    <w:rsid w:val="00E71437"/>
    <w:rsid w:val="00E92C7E"/>
    <w:rsid w:val="00EB716A"/>
    <w:rsid w:val="00ED18B3"/>
    <w:rsid w:val="00ED3E64"/>
    <w:rsid w:val="00EF2E61"/>
    <w:rsid w:val="00F512BB"/>
    <w:rsid w:val="00F566F3"/>
    <w:rsid w:val="00F567C0"/>
    <w:rsid w:val="00F640DA"/>
    <w:rsid w:val="00FA7FED"/>
    <w:rsid w:val="00FB2B45"/>
    <w:rsid w:val="00FB6045"/>
    <w:rsid w:val="00FC2FCC"/>
    <w:rsid w:val="00FC41C8"/>
    <w:rsid w:val="00FD2D2F"/>
    <w:rsid w:val="00FD6D26"/>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F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5"/>
    <w:pPr>
      <w:widowControl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495"/>
    <w:pPr>
      <w:tabs>
        <w:tab w:val="center" w:pos="4320"/>
        <w:tab w:val="right" w:pos="8640"/>
      </w:tabs>
    </w:pPr>
  </w:style>
  <w:style w:type="character" w:customStyle="1" w:styleId="HeaderChar">
    <w:name w:val="Header Char"/>
    <w:basedOn w:val="DefaultParagraphFont"/>
    <w:link w:val="Header"/>
    <w:rsid w:val="00A86495"/>
    <w:rPr>
      <w:rFonts w:ascii="Arial" w:eastAsia="Times New Roman" w:hAnsi="Arial" w:cs="Arial"/>
      <w:sz w:val="24"/>
      <w:szCs w:val="24"/>
    </w:rPr>
  </w:style>
  <w:style w:type="paragraph" w:styleId="Footer">
    <w:name w:val="footer"/>
    <w:basedOn w:val="Normal"/>
    <w:link w:val="FooterChar"/>
    <w:uiPriority w:val="99"/>
    <w:rsid w:val="00A86495"/>
    <w:pPr>
      <w:tabs>
        <w:tab w:val="center" w:pos="4320"/>
        <w:tab w:val="right" w:pos="8640"/>
      </w:tabs>
    </w:pPr>
  </w:style>
  <w:style w:type="character" w:customStyle="1" w:styleId="FooterChar">
    <w:name w:val="Footer Char"/>
    <w:basedOn w:val="DefaultParagraphFont"/>
    <w:link w:val="Footer"/>
    <w:uiPriority w:val="99"/>
    <w:rsid w:val="00A86495"/>
    <w:rPr>
      <w:rFonts w:ascii="Arial" w:eastAsia="Times New Roman" w:hAnsi="Arial" w:cs="Arial"/>
      <w:sz w:val="24"/>
      <w:szCs w:val="24"/>
    </w:rPr>
  </w:style>
  <w:style w:type="paragraph" w:styleId="ListParagraph">
    <w:name w:val="List Paragraph"/>
    <w:basedOn w:val="Normal"/>
    <w:uiPriority w:val="34"/>
    <w:qFormat/>
    <w:rsid w:val="00A86495"/>
    <w:pPr>
      <w:ind w:left="720"/>
      <w:contextualSpacing/>
    </w:pPr>
  </w:style>
  <w:style w:type="paragraph" w:styleId="BalloonText">
    <w:name w:val="Balloon Text"/>
    <w:basedOn w:val="Normal"/>
    <w:link w:val="BalloonTextChar"/>
    <w:uiPriority w:val="99"/>
    <w:semiHidden/>
    <w:unhideWhenUsed/>
    <w:rsid w:val="0047098A"/>
    <w:rPr>
      <w:rFonts w:ascii="Tahoma" w:hAnsi="Tahoma" w:cs="Tahoma"/>
      <w:sz w:val="16"/>
      <w:szCs w:val="16"/>
    </w:rPr>
  </w:style>
  <w:style w:type="character" w:customStyle="1" w:styleId="BalloonTextChar">
    <w:name w:val="Balloon Text Char"/>
    <w:basedOn w:val="DefaultParagraphFont"/>
    <w:link w:val="BalloonText"/>
    <w:uiPriority w:val="99"/>
    <w:semiHidden/>
    <w:rsid w:val="0047098A"/>
    <w:rPr>
      <w:rFonts w:ascii="Tahoma" w:eastAsia="Times New Roman" w:hAnsi="Tahoma" w:cs="Tahoma"/>
      <w:sz w:val="16"/>
      <w:szCs w:val="16"/>
    </w:rPr>
  </w:style>
  <w:style w:type="paragraph" w:styleId="Title">
    <w:name w:val="Title"/>
    <w:basedOn w:val="Normal"/>
    <w:link w:val="TitleChar"/>
    <w:qFormat/>
    <w:rsid w:val="0090160E"/>
    <w:pPr>
      <w:widowControl/>
      <w:adjustRightInd/>
      <w:jc w:val="center"/>
    </w:pPr>
    <w:rPr>
      <w:rFonts w:cs="Times New Roman"/>
      <w:b/>
      <w:bCs/>
      <w:u w:val="single"/>
    </w:rPr>
  </w:style>
  <w:style w:type="character" w:customStyle="1" w:styleId="TitleChar">
    <w:name w:val="Title Char"/>
    <w:basedOn w:val="DefaultParagraphFont"/>
    <w:link w:val="Title"/>
    <w:rsid w:val="0090160E"/>
    <w:rPr>
      <w:rFonts w:ascii="Arial" w:eastAsia="Times New Roman" w:hAnsi="Arial" w:cs="Times New Roman"/>
      <w:b/>
      <w:bCs/>
      <w:sz w:val="24"/>
      <w:szCs w:val="24"/>
      <w:u w:val="single"/>
    </w:rPr>
  </w:style>
  <w:style w:type="paragraph" w:styleId="BodyText">
    <w:name w:val="Body Text"/>
    <w:basedOn w:val="Normal"/>
    <w:link w:val="BodyTextChar"/>
    <w:rsid w:val="00FC41C8"/>
    <w:pPr>
      <w:widowControl/>
      <w:adjustRightInd/>
      <w:spacing w:line="480" w:lineRule="auto"/>
      <w:jc w:val="both"/>
    </w:pPr>
    <w:rPr>
      <w:rFonts w:cs="Times New Roman"/>
    </w:rPr>
  </w:style>
  <w:style w:type="character" w:customStyle="1" w:styleId="BodyTextChar">
    <w:name w:val="Body Text Char"/>
    <w:basedOn w:val="DefaultParagraphFont"/>
    <w:link w:val="BodyText"/>
    <w:rsid w:val="00FC41C8"/>
    <w:rPr>
      <w:rFonts w:ascii="Arial" w:eastAsia="Times New Roman" w:hAnsi="Arial" w:cs="Times New Roman"/>
      <w:sz w:val="24"/>
      <w:szCs w:val="24"/>
    </w:rPr>
  </w:style>
  <w:style w:type="paragraph" w:customStyle="1" w:styleId="Default">
    <w:name w:val="Default"/>
    <w:rsid w:val="008331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
    <w:name w:val="CM8"/>
    <w:basedOn w:val="Default"/>
    <w:next w:val="Default"/>
    <w:uiPriority w:val="99"/>
    <w:rsid w:val="00E92C7E"/>
    <w:rPr>
      <w:color w:val="auto"/>
    </w:rPr>
  </w:style>
  <w:style w:type="paragraph" w:customStyle="1" w:styleId="CM5">
    <w:name w:val="CM5"/>
    <w:basedOn w:val="Default"/>
    <w:next w:val="Default"/>
    <w:uiPriority w:val="99"/>
    <w:rsid w:val="00E92C7E"/>
    <w:rPr>
      <w:color w:val="auto"/>
    </w:rPr>
  </w:style>
  <w:style w:type="paragraph" w:customStyle="1" w:styleId="CM7">
    <w:name w:val="CM7"/>
    <w:basedOn w:val="Default"/>
    <w:next w:val="Default"/>
    <w:uiPriority w:val="99"/>
    <w:rsid w:val="00E92C7E"/>
    <w:rPr>
      <w:color w:val="auto"/>
    </w:rPr>
  </w:style>
  <w:style w:type="paragraph" w:customStyle="1" w:styleId="CM3">
    <w:name w:val="CM3"/>
    <w:basedOn w:val="Default"/>
    <w:next w:val="Default"/>
    <w:uiPriority w:val="99"/>
    <w:rsid w:val="00E92C7E"/>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BDE8-AED2-4FF0-9CEA-BF1219AD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2017-02-15T19:53:00Z</dcterms:created>
  <dcterms:modified xsi:type="dcterms:W3CDTF">2017-02-15T20:45:00Z</dcterms:modified>
</cp:coreProperties>
</file>