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0D" w:rsidRDefault="00E5760D">
      <w:pPr>
        <w:jc w:val="center"/>
        <w:rPr>
          <w:sz w:val="24"/>
          <w:lang w:eastAsia="ja-JP"/>
        </w:rPr>
      </w:pPr>
      <w:r>
        <w:rPr>
          <w:sz w:val="24"/>
          <w:lang w:eastAsia="ja-JP"/>
        </w:rPr>
        <w:t>IN THE CIRCUIT COURT OF THE THIRTEENTH JUDICIAL CIRCUIT</w:t>
      </w:r>
    </w:p>
    <w:p w:rsidR="00E5760D" w:rsidRDefault="00E5760D">
      <w:pPr>
        <w:jc w:val="center"/>
        <w:rPr>
          <w:sz w:val="24"/>
          <w:lang w:eastAsia="ja-JP"/>
        </w:rPr>
      </w:pPr>
      <w:r>
        <w:rPr>
          <w:sz w:val="24"/>
          <w:lang w:eastAsia="ja-JP"/>
        </w:rPr>
        <w:t>HILLSBOROUGH COUNTY, FLORIDA</w:t>
      </w:r>
    </w:p>
    <w:p w:rsidR="00E5760D" w:rsidRDefault="00E5760D">
      <w:pPr>
        <w:jc w:val="center"/>
        <w:rPr>
          <w:sz w:val="24"/>
          <w:lang w:eastAsia="ja-JP"/>
        </w:rPr>
      </w:pPr>
      <w:r>
        <w:rPr>
          <w:sz w:val="24"/>
          <w:lang w:eastAsia="ja-JP"/>
        </w:rPr>
        <w:t>CIVIL DIVISION</w:t>
      </w:r>
    </w:p>
    <w:p w:rsidR="00EE150C" w:rsidRDefault="00EE150C" w:rsidP="00D2601C">
      <w:pPr>
        <w:rPr>
          <w:sz w:val="24"/>
          <w:lang w:eastAsia="ja-JP"/>
        </w:rPr>
      </w:pPr>
    </w:p>
    <w:p w:rsidR="00DB72A7" w:rsidRDefault="00DB72A7" w:rsidP="00D84F68">
      <w:pPr>
        <w:tabs>
          <w:tab w:val="left" w:pos="720"/>
          <w:tab w:val="left" w:pos="5040"/>
          <w:tab w:val="left" w:pos="6480"/>
          <w:tab w:val="left" w:pos="7740"/>
        </w:tabs>
        <w:rPr>
          <w:sz w:val="24"/>
          <w:szCs w:val="24"/>
        </w:rPr>
      </w:pPr>
      <w:r w:rsidRPr="00DB72A7">
        <w:rPr>
          <w:caps/>
          <w:sz w:val="24"/>
          <w:szCs w:val="24"/>
        </w:rPr>
        <w:t>[P]</w:t>
      </w:r>
      <w:r w:rsidR="009810D3" w:rsidRPr="009810D3">
        <w:rPr>
          <w:sz w:val="24"/>
          <w:szCs w:val="24"/>
        </w:rPr>
        <w:t>,</w:t>
      </w:r>
    </w:p>
    <w:p w:rsidR="00DB72A7" w:rsidRDefault="00DB72A7" w:rsidP="00D84F68">
      <w:pPr>
        <w:tabs>
          <w:tab w:val="left" w:pos="720"/>
          <w:tab w:val="left" w:pos="5040"/>
          <w:tab w:val="left" w:pos="6480"/>
          <w:tab w:val="left" w:pos="7740"/>
        </w:tabs>
        <w:rPr>
          <w:sz w:val="24"/>
          <w:szCs w:val="24"/>
        </w:rPr>
      </w:pPr>
    </w:p>
    <w:p w:rsidR="001D6DD8" w:rsidRDefault="00DB72A7" w:rsidP="00D84F68">
      <w:pPr>
        <w:tabs>
          <w:tab w:val="left" w:pos="720"/>
          <w:tab w:val="left" w:pos="5040"/>
          <w:tab w:val="left" w:pos="6480"/>
          <w:tab w:val="left" w:pos="7740"/>
        </w:tabs>
        <w:rPr>
          <w:sz w:val="24"/>
          <w:szCs w:val="24"/>
        </w:rPr>
      </w:pPr>
      <w:r>
        <w:rPr>
          <w:sz w:val="24"/>
          <w:szCs w:val="24"/>
        </w:rPr>
        <w:tab/>
      </w:r>
      <w:r w:rsidR="009810D3" w:rsidRPr="009810D3">
        <w:rPr>
          <w:sz w:val="24"/>
          <w:szCs w:val="24"/>
        </w:rPr>
        <w:t>Plaintiff</w:t>
      </w:r>
      <w:r w:rsidR="00887FCB">
        <w:rPr>
          <w:sz w:val="24"/>
          <w:szCs w:val="24"/>
        </w:rPr>
        <w:t>(s)</w:t>
      </w:r>
      <w:r w:rsidR="009810D3" w:rsidRPr="009810D3">
        <w:rPr>
          <w:sz w:val="24"/>
          <w:szCs w:val="24"/>
        </w:rPr>
        <w:t>,</w:t>
      </w:r>
    </w:p>
    <w:p w:rsidR="00DB72A7" w:rsidRDefault="00DB72A7" w:rsidP="00D84F68">
      <w:pPr>
        <w:tabs>
          <w:tab w:val="left" w:pos="720"/>
          <w:tab w:val="left" w:pos="5040"/>
          <w:tab w:val="left" w:pos="6480"/>
          <w:tab w:val="left" w:pos="7740"/>
        </w:tabs>
        <w:rPr>
          <w:sz w:val="24"/>
          <w:szCs w:val="24"/>
        </w:rPr>
      </w:pPr>
    </w:p>
    <w:p w:rsidR="001D6DD8" w:rsidRPr="005E1DA9" w:rsidRDefault="00DB72A7" w:rsidP="001D6DD8">
      <w:pPr>
        <w:tabs>
          <w:tab w:val="left" w:pos="720"/>
          <w:tab w:val="left" w:pos="5040"/>
          <w:tab w:val="left" w:pos="6480"/>
          <w:tab w:val="left" w:pos="7740"/>
        </w:tabs>
        <w:rPr>
          <w:caps/>
          <w:sz w:val="24"/>
          <w:szCs w:val="24"/>
        </w:rPr>
      </w:pPr>
      <w:r>
        <w:rPr>
          <w:sz w:val="24"/>
          <w:szCs w:val="24"/>
        </w:rPr>
        <w:t>vs.</w:t>
      </w:r>
      <w:r w:rsidR="001D6DD8">
        <w:rPr>
          <w:sz w:val="24"/>
          <w:szCs w:val="24"/>
        </w:rPr>
        <w:tab/>
      </w:r>
      <w:r w:rsidR="001D6DD8">
        <w:rPr>
          <w:sz w:val="24"/>
          <w:szCs w:val="24"/>
        </w:rPr>
        <w:tab/>
      </w:r>
      <w:r w:rsidR="001D6DD8">
        <w:rPr>
          <w:sz w:val="24"/>
          <w:szCs w:val="24"/>
        </w:rPr>
        <w:tab/>
      </w:r>
      <w:r w:rsidR="001D6DD8" w:rsidRPr="005E1DA9">
        <w:rPr>
          <w:caps/>
          <w:sz w:val="24"/>
          <w:szCs w:val="24"/>
        </w:rPr>
        <w:t>CASE NO.:</w:t>
      </w:r>
      <w:r w:rsidR="001D6DD8" w:rsidRPr="005E1DA9">
        <w:rPr>
          <w:caps/>
          <w:sz w:val="24"/>
          <w:szCs w:val="24"/>
        </w:rPr>
        <w:tab/>
      </w:r>
    </w:p>
    <w:p w:rsidR="001D6DD8" w:rsidRDefault="001D6DD8" w:rsidP="001D6DD8">
      <w:pPr>
        <w:tabs>
          <w:tab w:val="left" w:pos="720"/>
          <w:tab w:val="left" w:pos="5040"/>
          <w:tab w:val="left" w:pos="6480"/>
          <w:tab w:val="left" w:pos="7740"/>
        </w:tabs>
        <w:rPr>
          <w:sz w:val="24"/>
          <w:szCs w:val="24"/>
        </w:rPr>
      </w:pPr>
      <w:r>
        <w:rPr>
          <w:sz w:val="24"/>
          <w:szCs w:val="24"/>
        </w:rPr>
        <w:tab/>
      </w:r>
      <w:r>
        <w:rPr>
          <w:sz w:val="24"/>
          <w:szCs w:val="24"/>
        </w:rPr>
        <w:tab/>
      </w:r>
      <w:r>
        <w:rPr>
          <w:sz w:val="24"/>
          <w:szCs w:val="24"/>
        </w:rPr>
        <w:tab/>
        <w:t>DIVISION:</w:t>
      </w:r>
      <w:r>
        <w:rPr>
          <w:sz w:val="24"/>
          <w:szCs w:val="24"/>
        </w:rPr>
        <w:tab/>
        <w:t>“C”</w:t>
      </w:r>
    </w:p>
    <w:p w:rsidR="00DB72A7" w:rsidRDefault="00DB72A7" w:rsidP="00D84F68">
      <w:pPr>
        <w:tabs>
          <w:tab w:val="left" w:pos="720"/>
          <w:tab w:val="left" w:pos="5040"/>
          <w:tab w:val="left" w:pos="6480"/>
          <w:tab w:val="left" w:pos="7740"/>
        </w:tabs>
        <w:rPr>
          <w:caps/>
          <w:sz w:val="24"/>
          <w:szCs w:val="24"/>
        </w:rPr>
      </w:pPr>
    </w:p>
    <w:p w:rsidR="00DB72A7" w:rsidRDefault="00DB72A7" w:rsidP="00CA27FC">
      <w:pPr>
        <w:tabs>
          <w:tab w:val="left" w:pos="720"/>
          <w:tab w:val="left" w:pos="5040"/>
          <w:tab w:val="left" w:pos="6480"/>
          <w:tab w:val="left" w:pos="7740"/>
        </w:tabs>
        <w:ind w:right="4320"/>
        <w:rPr>
          <w:sz w:val="24"/>
          <w:szCs w:val="24"/>
        </w:rPr>
      </w:pPr>
      <w:r w:rsidRPr="00DB72A7">
        <w:rPr>
          <w:caps/>
          <w:sz w:val="24"/>
          <w:szCs w:val="24"/>
        </w:rPr>
        <w:t>[D]</w:t>
      </w:r>
      <w:r w:rsidR="00AD3EA2">
        <w:rPr>
          <w:sz w:val="24"/>
          <w:szCs w:val="24"/>
        </w:rPr>
        <w:t>,</w:t>
      </w:r>
    </w:p>
    <w:p w:rsidR="00DB72A7" w:rsidRDefault="00DB72A7" w:rsidP="00D84F68">
      <w:pPr>
        <w:tabs>
          <w:tab w:val="left" w:pos="720"/>
          <w:tab w:val="left" w:pos="5040"/>
          <w:tab w:val="left" w:pos="6480"/>
          <w:tab w:val="left" w:pos="7740"/>
        </w:tabs>
        <w:rPr>
          <w:sz w:val="24"/>
          <w:szCs w:val="24"/>
        </w:rPr>
      </w:pPr>
    </w:p>
    <w:p w:rsidR="00DB72A7" w:rsidRDefault="00DB72A7" w:rsidP="00D84F68">
      <w:pPr>
        <w:tabs>
          <w:tab w:val="left" w:pos="720"/>
          <w:tab w:val="left" w:pos="5040"/>
          <w:tab w:val="left" w:pos="6480"/>
          <w:tab w:val="left" w:pos="7740"/>
        </w:tabs>
        <w:rPr>
          <w:sz w:val="24"/>
          <w:szCs w:val="24"/>
        </w:rPr>
      </w:pPr>
      <w:r>
        <w:rPr>
          <w:sz w:val="24"/>
          <w:szCs w:val="24"/>
        </w:rPr>
        <w:tab/>
      </w:r>
      <w:r w:rsidR="009810D3" w:rsidRPr="009810D3">
        <w:rPr>
          <w:sz w:val="24"/>
          <w:szCs w:val="24"/>
        </w:rPr>
        <w:t>Defendant</w:t>
      </w:r>
      <w:r w:rsidR="00887FCB">
        <w:rPr>
          <w:sz w:val="24"/>
          <w:szCs w:val="24"/>
        </w:rPr>
        <w:t>(s)</w:t>
      </w:r>
      <w:r w:rsidR="009810D3" w:rsidRPr="009810D3">
        <w:rPr>
          <w:sz w:val="24"/>
          <w:szCs w:val="24"/>
        </w:rPr>
        <w:t>.</w:t>
      </w:r>
    </w:p>
    <w:p w:rsidR="009810D3" w:rsidRPr="000D300E" w:rsidRDefault="00AD3EA2" w:rsidP="00D84F68">
      <w:pPr>
        <w:tabs>
          <w:tab w:val="left" w:pos="720"/>
          <w:tab w:val="left" w:pos="5040"/>
          <w:tab w:val="left" w:pos="6480"/>
          <w:tab w:val="left" w:pos="7740"/>
        </w:tabs>
        <w:rPr>
          <w:sz w:val="24"/>
          <w:szCs w:val="24"/>
        </w:rPr>
      </w:pPr>
      <w:r>
        <w:rPr>
          <w:sz w:val="24"/>
          <w:szCs w:val="24"/>
          <w:u w:val="single"/>
        </w:rPr>
        <w:tab/>
      </w:r>
      <w:r>
        <w:rPr>
          <w:sz w:val="24"/>
          <w:szCs w:val="24"/>
          <w:u w:val="single"/>
        </w:rPr>
        <w:tab/>
      </w:r>
      <w:r>
        <w:rPr>
          <w:sz w:val="24"/>
          <w:szCs w:val="24"/>
        </w:rPr>
        <w:t>/</w:t>
      </w:r>
    </w:p>
    <w:p w:rsidR="003E3F97" w:rsidRDefault="003E3F97" w:rsidP="00AE27B7">
      <w:pPr>
        <w:rPr>
          <w:b/>
          <w:sz w:val="24"/>
          <w:u w:val="single"/>
          <w:lang w:eastAsia="ja-JP"/>
        </w:rPr>
      </w:pPr>
    </w:p>
    <w:p w:rsidR="005373BD" w:rsidRDefault="00F26846" w:rsidP="00AD3EA2">
      <w:pPr>
        <w:jc w:val="center"/>
        <w:rPr>
          <w:b/>
          <w:sz w:val="24"/>
          <w:u w:val="single"/>
          <w:lang w:eastAsia="ja-JP"/>
        </w:rPr>
      </w:pPr>
      <w:r>
        <w:rPr>
          <w:b/>
          <w:sz w:val="24"/>
          <w:u w:val="single"/>
          <w:lang w:eastAsia="ja-JP"/>
        </w:rPr>
        <w:t xml:space="preserve">ORDER IDENTIFYING </w:t>
      </w:r>
      <w:r w:rsidR="005373BD">
        <w:rPr>
          <w:b/>
          <w:sz w:val="24"/>
          <w:u w:val="single"/>
          <w:lang w:eastAsia="ja-JP"/>
        </w:rPr>
        <w:t>PROCEDURES APPLICABLE TO</w:t>
      </w:r>
    </w:p>
    <w:p w:rsidR="00E5760D" w:rsidRPr="00AD3EA2" w:rsidRDefault="006E47B1" w:rsidP="00AD3EA2">
      <w:pPr>
        <w:jc w:val="center"/>
        <w:rPr>
          <w:b/>
          <w:sz w:val="24"/>
          <w:lang w:eastAsia="ja-JP"/>
        </w:rPr>
      </w:pPr>
      <w:r>
        <w:rPr>
          <w:b/>
          <w:sz w:val="24"/>
          <w:u w:val="single"/>
          <w:lang w:eastAsia="ja-JP"/>
        </w:rPr>
        <w:t>NON-</w:t>
      </w:r>
      <w:r w:rsidR="00E5760D">
        <w:rPr>
          <w:b/>
          <w:sz w:val="24"/>
          <w:u w:val="single"/>
          <w:lang w:eastAsia="ja-JP"/>
        </w:rPr>
        <w:t>JURY TRIALS</w:t>
      </w:r>
      <w:r w:rsidR="005373BD">
        <w:rPr>
          <w:b/>
          <w:sz w:val="24"/>
          <w:u w:val="single"/>
          <w:lang w:eastAsia="ja-JP"/>
        </w:rPr>
        <w:t xml:space="preserve"> IN DIVISION “C”</w:t>
      </w:r>
    </w:p>
    <w:p w:rsidR="003B7FFE" w:rsidRDefault="003B7FFE" w:rsidP="00231419">
      <w:pPr>
        <w:jc w:val="both"/>
        <w:rPr>
          <w:sz w:val="24"/>
          <w:lang w:eastAsia="ja-JP"/>
        </w:rPr>
      </w:pPr>
    </w:p>
    <w:p w:rsidR="00F6121C" w:rsidRDefault="00E5760D" w:rsidP="00F6121C">
      <w:pPr>
        <w:jc w:val="both"/>
        <w:rPr>
          <w:sz w:val="24"/>
          <w:lang w:eastAsia="ja-JP"/>
        </w:rPr>
      </w:pPr>
      <w:r>
        <w:rPr>
          <w:sz w:val="24"/>
          <w:lang w:eastAsia="ja-JP"/>
        </w:rPr>
        <w:tab/>
        <w:t xml:space="preserve">The following procedures are applicable to </w:t>
      </w:r>
      <w:r w:rsidR="00A83EE9">
        <w:rPr>
          <w:sz w:val="24"/>
          <w:lang w:eastAsia="ja-JP"/>
        </w:rPr>
        <w:t>non-</w:t>
      </w:r>
      <w:r>
        <w:rPr>
          <w:sz w:val="24"/>
          <w:lang w:eastAsia="ja-JP"/>
        </w:rPr>
        <w:t xml:space="preserve">jury trials conducted before the Honorable </w:t>
      </w:r>
      <w:r w:rsidR="004873B1">
        <w:rPr>
          <w:sz w:val="24"/>
          <w:lang w:eastAsia="ja-JP"/>
        </w:rPr>
        <w:t>Elizabeth G. Rice</w:t>
      </w:r>
      <w:r>
        <w:rPr>
          <w:sz w:val="24"/>
          <w:lang w:eastAsia="ja-JP"/>
        </w:rPr>
        <w:t>, Circuit Judge:</w:t>
      </w:r>
    </w:p>
    <w:p w:rsidR="00F6121C" w:rsidRDefault="00F6121C" w:rsidP="00F6121C">
      <w:pPr>
        <w:jc w:val="both"/>
        <w:rPr>
          <w:sz w:val="24"/>
          <w:lang w:eastAsia="ja-JP"/>
        </w:rPr>
      </w:pPr>
    </w:p>
    <w:p w:rsidR="003B7FFE" w:rsidRDefault="004873B1" w:rsidP="00870A8B">
      <w:pPr>
        <w:numPr>
          <w:ilvl w:val="0"/>
          <w:numId w:val="1"/>
        </w:numPr>
        <w:ind w:left="0" w:firstLine="720"/>
        <w:jc w:val="both"/>
        <w:rPr>
          <w:sz w:val="24"/>
          <w:lang w:eastAsia="ja-JP"/>
        </w:rPr>
      </w:pPr>
      <w:r w:rsidRPr="009571B7">
        <w:rPr>
          <w:b/>
          <w:sz w:val="24"/>
          <w:u w:val="single"/>
          <w:lang w:eastAsia="ja-JP"/>
        </w:rPr>
        <w:t>Motions in L</w:t>
      </w:r>
      <w:r w:rsidR="00E5760D" w:rsidRPr="009571B7">
        <w:rPr>
          <w:b/>
          <w:sz w:val="24"/>
          <w:u w:val="single"/>
          <w:lang w:eastAsia="ja-JP"/>
        </w:rPr>
        <w:t>imine</w:t>
      </w:r>
      <w:r>
        <w:rPr>
          <w:sz w:val="24"/>
          <w:lang w:eastAsia="ja-JP"/>
        </w:rPr>
        <w:t xml:space="preserve">.  Motions in </w:t>
      </w:r>
      <w:proofErr w:type="spellStart"/>
      <w:r>
        <w:rPr>
          <w:sz w:val="24"/>
          <w:lang w:eastAsia="ja-JP"/>
        </w:rPr>
        <w:t>limine</w:t>
      </w:r>
      <w:proofErr w:type="spellEnd"/>
      <w:r w:rsidR="00E5760D">
        <w:rPr>
          <w:sz w:val="24"/>
          <w:lang w:eastAsia="ja-JP"/>
        </w:rPr>
        <w:t xml:space="preserve"> shall be served and </w:t>
      </w:r>
      <w:r w:rsidR="00E5760D">
        <w:rPr>
          <w:sz w:val="24"/>
          <w:u w:val="single"/>
          <w:lang w:eastAsia="ja-JP"/>
        </w:rPr>
        <w:t>heard</w:t>
      </w:r>
      <w:r w:rsidR="00937D59">
        <w:rPr>
          <w:sz w:val="24"/>
          <w:lang w:eastAsia="ja-JP"/>
        </w:rPr>
        <w:t xml:space="preserve">, </w:t>
      </w:r>
      <w:r w:rsidR="00937D59" w:rsidRPr="00904F45">
        <w:rPr>
          <w:b/>
          <w:sz w:val="24"/>
          <w:lang w:eastAsia="ja-JP"/>
        </w:rPr>
        <w:t xml:space="preserve">no later than the </w:t>
      </w:r>
      <w:r w:rsidR="00DB7EC9" w:rsidRPr="00904F45">
        <w:rPr>
          <w:b/>
          <w:sz w:val="24"/>
          <w:lang w:eastAsia="ja-JP"/>
        </w:rPr>
        <w:t xml:space="preserve">week before commencement of </w:t>
      </w:r>
      <w:r w:rsidR="00E5760D" w:rsidRPr="00904F45">
        <w:rPr>
          <w:b/>
          <w:sz w:val="24"/>
          <w:lang w:eastAsia="ja-JP"/>
        </w:rPr>
        <w:t>trial</w:t>
      </w:r>
      <w:r w:rsidR="00E5760D">
        <w:rPr>
          <w:sz w:val="24"/>
          <w:lang w:eastAsia="ja-JP"/>
        </w:rPr>
        <w:t>.</w:t>
      </w:r>
      <w:r w:rsidR="00FB75B5">
        <w:rPr>
          <w:sz w:val="24"/>
          <w:lang w:eastAsia="ja-JP"/>
        </w:rPr>
        <w:t xml:space="preserve">  As the availability of hearing time no doubt will be extremely limited that week, please file all motions and schedule all hearings thereon sufficiently in advance of this week so the motions may be heard timely.</w:t>
      </w:r>
    </w:p>
    <w:p w:rsidR="00CC62D4" w:rsidRDefault="00CC62D4" w:rsidP="00CC62D4">
      <w:pPr>
        <w:ind w:left="720"/>
        <w:jc w:val="both"/>
        <w:rPr>
          <w:sz w:val="24"/>
          <w:lang w:eastAsia="ja-JP"/>
        </w:rPr>
      </w:pPr>
    </w:p>
    <w:p w:rsidR="00CC62D4" w:rsidRDefault="00CC62D4" w:rsidP="00CC62D4">
      <w:pPr>
        <w:numPr>
          <w:ilvl w:val="0"/>
          <w:numId w:val="1"/>
        </w:numPr>
        <w:ind w:left="0" w:firstLine="720"/>
        <w:jc w:val="both"/>
        <w:rPr>
          <w:sz w:val="24"/>
          <w:lang w:eastAsia="ja-JP"/>
        </w:rPr>
      </w:pPr>
      <w:r w:rsidRPr="009571B7">
        <w:rPr>
          <w:b/>
          <w:sz w:val="24"/>
          <w:u w:val="single"/>
          <w:lang w:eastAsia="ja-JP"/>
        </w:rPr>
        <w:t>Exhibits &amp; Witness Lists</w:t>
      </w:r>
      <w:r>
        <w:rPr>
          <w:sz w:val="24"/>
          <w:lang w:eastAsia="ja-JP"/>
        </w:rPr>
        <w:t>.</w:t>
      </w:r>
    </w:p>
    <w:p w:rsidR="00CC62D4" w:rsidRPr="00237911" w:rsidRDefault="00CC62D4" w:rsidP="00CC62D4">
      <w:pPr>
        <w:ind w:left="720"/>
        <w:jc w:val="both"/>
        <w:rPr>
          <w:sz w:val="24"/>
          <w:lang w:eastAsia="ja-JP"/>
        </w:rPr>
      </w:pPr>
    </w:p>
    <w:p w:rsidR="00CC62D4" w:rsidRDefault="00CC62D4" w:rsidP="00CC62D4">
      <w:pPr>
        <w:numPr>
          <w:ilvl w:val="1"/>
          <w:numId w:val="1"/>
        </w:numPr>
        <w:ind w:left="720" w:firstLine="720"/>
        <w:jc w:val="both"/>
        <w:rPr>
          <w:sz w:val="24"/>
          <w:lang w:eastAsia="ja-JP"/>
        </w:rPr>
      </w:pPr>
      <w:r w:rsidRPr="00DE2216">
        <w:rPr>
          <w:b/>
          <w:sz w:val="24"/>
          <w:lang w:eastAsia="ja-JP"/>
        </w:rPr>
        <w:t>Trial Exhibit</w:t>
      </w:r>
      <w:r>
        <w:rPr>
          <w:b/>
          <w:sz w:val="24"/>
          <w:lang w:eastAsia="ja-JP"/>
        </w:rPr>
        <w:t xml:space="preserve"> Lists</w:t>
      </w:r>
      <w:r>
        <w:rPr>
          <w:sz w:val="24"/>
          <w:lang w:eastAsia="ja-JP"/>
        </w:rPr>
        <w:t xml:space="preserve">.  </w:t>
      </w:r>
      <w:r w:rsidRPr="00EE5F8A">
        <w:rPr>
          <w:b/>
          <w:sz w:val="24"/>
          <w:lang w:eastAsia="ja-JP"/>
        </w:rPr>
        <w:t>No later than two full business days before the commencement of trial</w:t>
      </w:r>
      <w:r>
        <w:rPr>
          <w:sz w:val="24"/>
          <w:lang w:eastAsia="ja-JP"/>
        </w:rPr>
        <w:t xml:space="preserve">, each attorney shall file with the clerk of the court the original and provide to the Court a </w:t>
      </w:r>
      <w:r w:rsidRPr="00A542F9">
        <w:rPr>
          <w:b/>
          <w:sz w:val="24"/>
          <w:lang w:eastAsia="ja-JP"/>
        </w:rPr>
        <w:t>courtesy copy</w:t>
      </w:r>
      <w:r>
        <w:rPr>
          <w:sz w:val="24"/>
          <w:lang w:eastAsia="ja-JP"/>
        </w:rPr>
        <w:t xml:space="preserve"> of a list of exhibits, numbered in the sequence in which the attorney will tender same.  The exhibit list shall describe the exhibit sufficiently for the Court to identify it.</w:t>
      </w:r>
    </w:p>
    <w:p w:rsidR="00CC62D4" w:rsidRDefault="00CC62D4" w:rsidP="00CC62D4">
      <w:pPr>
        <w:pStyle w:val="ListParagraph"/>
        <w:rPr>
          <w:sz w:val="24"/>
          <w:lang w:eastAsia="ja-JP"/>
        </w:rPr>
      </w:pPr>
    </w:p>
    <w:p w:rsidR="00CC62D4" w:rsidRDefault="00CC62D4" w:rsidP="00CC62D4">
      <w:pPr>
        <w:numPr>
          <w:ilvl w:val="1"/>
          <w:numId w:val="1"/>
        </w:numPr>
        <w:ind w:left="720" w:firstLine="720"/>
        <w:jc w:val="both"/>
        <w:rPr>
          <w:sz w:val="24"/>
          <w:lang w:eastAsia="ja-JP"/>
        </w:rPr>
      </w:pPr>
      <w:r w:rsidRPr="00A542F9">
        <w:rPr>
          <w:b/>
          <w:sz w:val="24"/>
          <w:lang w:eastAsia="ja-JP"/>
        </w:rPr>
        <w:t>Trial Exhibit</w:t>
      </w:r>
      <w:r>
        <w:rPr>
          <w:b/>
          <w:sz w:val="24"/>
          <w:lang w:eastAsia="ja-JP"/>
        </w:rPr>
        <w:t>s.</w:t>
      </w:r>
      <w:r>
        <w:rPr>
          <w:sz w:val="24"/>
          <w:lang w:eastAsia="ja-JP"/>
        </w:rPr>
        <w:t xml:space="preserve">  </w:t>
      </w:r>
      <w:r w:rsidRPr="003E3523">
        <w:rPr>
          <w:sz w:val="24"/>
          <w:lang w:eastAsia="ja-JP"/>
        </w:rPr>
        <w:t>All</w:t>
      </w:r>
      <w:r>
        <w:rPr>
          <w:sz w:val="24"/>
          <w:lang w:eastAsia="ja-JP"/>
        </w:rPr>
        <w:t xml:space="preserve"> exhibits shall be pre-marked with a permanent exhibit tag or stamp as prescribed by the clerk's office.  </w:t>
      </w:r>
      <w:r w:rsidRPr="00A542F9">
        <w:rPr>
          <w:sz w:val="24"/>
          <w:lang w:eastAsia="ja-JP"/>
        </w:rPr>
        <w:t xml:space="preserve">In addition, </w:t>
      </w:r>
      <w:r>
        <w:rPr>
          <w:sz w:val="24"/>
          <w:lang w:eastAsia="ja-JP"/>
        </w:rPr>
        <w:t>counsel for the parties s</w:t>
      </w:r>
      <w:r w:rsidRPr="00A542F9">
        <w:rPr>
          <w:sz w:val="24"/>
          <w:lang w:eastAsia="ja-JP"/>
        </w:rPr>
        <w:t xml:space="preserve">hall deliver to the Court </w:t>
      </w:r>
      <w:r w:rsidRPr="00B264BA">
        <w:rPr>
          <w:b/>
          <w:sz w:val="24"/>
          <w:lang w:eastAsia="ja-JP"/>
        </w:rPr>
        <w:t xml:space="preserve">no later than two </w:t>
      </w:r>
      <w:r>
        <w:rPr>
          <w:b/>
          <w:sz w:val="24"/>
          <w:lang w:eastAsia="ja-JP"/>
        </w:rPr>
        <w:t xml:space="preserve">full </w:t>
      </w:r>
      <w:r w:rsidRPr="00B264BA">
        <w:rPr>
          <w:b/>
          <w:sz w:val="24"/>
          <w:lang w:eastAsia="ja-JP"/>
        </w:rPr>
        <w:t>business days before the commencement of trial</w:t>
      </w:r>
      <w:r>
        <w:rPr>
          <w:sz w:val="24"/>
          <w:lang w:eastAsia="ja-JP"/>
        </w:rPr>
        <w:t xml:space="preserve"> the following:</w:t>
      </w:r>
    </w:p>
    <w:p w:rsidR="00CC62D4" w:rsidRDefault="00CC62D4" w:rsidP="00CC62D4">
      <w:pPr>
        <w:pStyle w:val="ListParagraph"/>
        <w:rPr>
          <w:sz w:val="24"/>
          <w:lang w:eastAsia="ja-JP"/>
        </w:rPr>
      </w:pPr>
    </w:p>
    <w:p w:rsidR="00CC62D4" w:rsidRDefault="00CC62D4" w:rsidP="00CC62D4">
      <w:pPr>
        <w:numPr>
          <w:ilvl w:val="4"/>
          <w:numId w:val="1"/>
        </w:numPr>
        <w:ind w:left="1440" w:firstLine="720"/>
        <w:jc w:val="both"/>
        <w:rPr>
          <w:sz w:val="24"/>
          <w:lang w:eastAsia="ja-JP"/>
        </w:rPr>
      </w:pPr>
      <w:r w:rsidRPr="00A542F9">
        <w:rPr>
          <w:sz w:val="24"/>
          <w:lang w:eastAsia="ja-JP"/>
        </w:rPr>
        <w:t>two compl</w:t>
      </w:r>
      <w:r>
        <w:rPr>
          <w:sz w:val="24"/>
          <w:lang w:eastAsia="ja-JP"/>
        </w:rPr>
        <w:t xml:space="preserve">ete sets of trial exhibits (the </w:t>
      </w:r>
      <w:r w:rsidRPr="007C5258">
        <w:rPr>
          <w:b/>
          <w:sz w:val="24"/>
          <w:lang w:eastAsia="ja-JP"/>
        </w:rPr>
        <w:t>original for the clerk</w:t>
      </w:r>
      <w:r>
        <w:rPr>
          <w:sz w:val="24"/>
          <w:lang w:eastAsia="ja-JP"/>
        </w:rPr>
        <w:t xml:space="preserve"> </w:t>
      </w:r>
      <w:r w:rsidRPr="00CD61F7">
        <w:rPr>
          <w:b/>
          <w:sz w:val="24"/>
          <w:lang w:eastAsia="ja-JP"/>
        </w:rPr>
        <w:t>of the co</w:t>
      </w:r>
      <w:r w:rsidRPr="006B5808">
        <w:rPr>
          <w:b/>
          <w:sz w:val="24"/>
          <w:lang w:eastAsia="ja-JP"/>
        </w:rPr>
        <w:t>urt</w:t>
      </w:r>
      <w:r w:rsidRPr="00A542F9">
        <w:rPr>
          <w:sz w:val="24"/>
          <w:lang w:eastAsia="ja-JP"/>
        </w:rPr>
        <w:t>, which will contain the exhibits actually entered into evidence</w:t>
      </w:r>
      <w:r>
        <w:rPr>
          <w:sz w:val="24"/>
          <w:lang w:eastAsia="ja-JP"/>
        </w:rPr>
        <w:t xml:space="preserve">, and a </w:t>
      </w:r>
      <w:r w:rsidRPr="007C5258">
        <w:rPr>
          <w:b/>
          <w:sz w:val="24"/>
          <w:lang w:eastAsia="ja-JP"/>
        </w:rPr>
        <w:t>courtesy copy for the Court</w:t>
      </w:r>
      <w:r w:rsidRPr="00A542F9">
        <w:rPr>
          <w:sz w:val="24"/>
          <w:lang w:eastAsia="ja-JP"/>
        </w:rPr>
        <w:t>);</w:t>
      </w:r>
      <w:r>
        <w:rPr>
          <w:sz w:val="24"/>
          <w:lang w:eastAsia="ja-JP"/>
        </w:rPr>
        <w:t xml:space="preserve"> and</w:t>
      </w:r>
    </w:p>
    <w:p w:rsidR="00CC62D4" w:rsidRDefault="00CC62D4" w:rsidP="00CC62D4">
      <w:pPr>
        <w:ind w:left="2160"/>
        <w:jc w:val="both"/>
        <w:rPr>
          <w:sz w:val="24"/>
          <w:lang w:eastAsia="ja-JP"/>
        </w:rPr>
      </w:pPr>
    </w:p>
    <w:p w:rsidR="00CC62D4" w:rsidRDefault="00CC62D4" w:rsidP="00CC62D4">
      <w:pPr>
        <w:numPr>
          <w:ilvl w:val="4"/>
          <w:numId w:val="1"/>
        </w:numPr>
        <w:ind w:left="1440" w:firstLine="720"/>
        <w:jc w:val="both"/>
        <w:rPr>
          <w:sz w:val="24"/>
          <w:lang w:eastAsia="ja-JP"/>
        </w:rPr>
      </w:pPr>
      <w:r w:rsidRPr="00A542F9">
        <w:rPr>
          <w:sz w:val="24"/>
          <w:lang w:eastAsia="ja-JP"/>
        </w:rPr>
        <w:t>a statement of stipulations and objections to the opposing party’</w:t>
      </w:r>
      <w:r>
        <w:rPr>
          <w:sz w:val="24"/>
          <w:lang w:eastAsia="ja-JP"/>
        </w:rPr>
        <w:t>s trial exhibits</w:t>
      </w:r>
      <w:r w:rsidR="00105456">
        <w:rPr>
          <w:sz w:val="24"/>
          <w:lang w:eastAsia="ja-JP"/>
        </w:rPr>
        <w:t xml:space="preserve"> (“Statement</w:t>
      </w:r>
      <w:r>
        <w:rPr>
          <w:sz w:val="24"/>
          <w:lang w:eastAsia="ja-JP"/>
        </w:rPr>
        <w:t>”).</w:t>
      </w:r>
    </w:p>
    <w:p w:rsidR="00CC62D4" w:rsidRPr="00A542F9" w:rsidRDefault="00CC62D4" w:rsidP="00CC62D4">
      <w:pPr>
        <w:ind w:left="2160"/>
        <w:jc w:val="both"/>
        <w:rPr>
          <w:sz w:val="24"/>
          <w:lang w:eastAsia="ja-JP"/>
        </w:rPr>
      </w:pPr>
    </w:p>
    <w:p w:rsidR="00CC62D4" w:rsidRDefault="00CC62D4" w:rsidP="00CC62D4">
      <w:pPr>
        <w:ind w:left="1440" w:firstLine="720"/>
        <w:jc w:val="both"/>
        <w:rPr>
          <w:sz w:val="24"/>
          <w:lang w:eastAsia="ja-JP"/>
        </w:rPr>
      </w:pPr>
      <w:r>
        <w:rPr>
          <w:sz w:val="24"/>
          <w:lang w:eastAsia="ja-JP"/>
        </w:rPr>
        <w:t>The S</w:t>
      </w:r>
      <w:r w:rsidRPr="00A542F9">
        <w:rPr>
          <w:sz w:val="24"/>
          <w:lang w:eastAsia="ja-JP"/>
        </w:rPr>
        <w:t>tatement</w:t>
      </w:r>
      <w:r>
        <w:rPr>
          <w:sz w:val="24"/>
          <w:lang w:eastAsia="ja-JP"/>
        </w:rPr>
        <w:t xml:space="preserve"> </w:t>
      </w:r>
      <w:r w:rsidRPr="00A542F9">
        <w:rPr>
          <w:sz w:val="24"/>
          <w:lang w:eastAsia="ja-JP"/>
        </w:rPr>
        <w:t xml:space="preserve">shall set forth as to </w:t>
      </w:r>
      <w:r w:rsidRPr="0021534D">
        <w:rPr>
          <w:b/>
          <w:sz w:val="24"/>
          <w:lang w:eastAsia="ja-JP"/>
        </w:rPr>
        <w:t>each</w:t>
      </w:r>
      <w:r w:rsidRPr="00A542F9">
        <w:rPr>
          <w:sz w:val="24"/>
          <w:lang w:eastAsia="ja-JP"/>
        </w:rPr>
        <w:t xml:space="preserve"> of the opposing party’s exhibits which exhibits the party stipulates as to its admissibility or objects as to its admissibility.  Each objection asserted shall state the grounds for the objection in reasonable detail and cite to case law, if necessary.  At the commencement of the trial, all exhibits to which there are no objections and the Court approves shall be admitted into evidence.  Any exhibit to which there is an objection may be offered into evidence by the party seeking its admission during the trial and at that time the Court will rule on the admissibility of the evidence.  Failure to comply with the requirements set forth in this paragraph </w:t>
      </w:r>
      <w:r w:rsidR="00B3489C">
        <w:rPr>
          <w:sz w:val="24"/>
          <w:lang w:eastAsia="ja-JP"/>
        </w:rPr>
        <w:t>2</w:t>
      </w:r>
      <w:r>
        <w:rPr>
          <w:sz w:val="24"/>
          <w:lang w:eastAsia="ja-JP"/>
        </w:rPr>
        <w:t xml:space="preserve">. </w:t>
      </w:r>
      <w:r w:rsidRPr="00A542F9">
        <w:rPr>
          <w:sz w:val="24"/>
          <w:lang w:eastAsia="ja-JP"/>
        </w:rPr>
        <w:t>may result in the exclusion of evidence at trial, removal of the case from the trial docket, or other appropriate sanction.</w:t>
      </w:r>
    </w:p>
    <w:p w:rsidR="00CC62D4" w:rsidRDefault="00CC62D4" w:rsidP="00CC62D4">
      <w:pPr>
        <w:ind w:left="1440" w:firstLine="720"/>
        <w:jc w:val="both"/>
        <w:rPr>
          <w:sz w:val="24"/>
          <w:lang w:eastAsia="ja-JP"/>
        </w:rPr>
      </w:pPr>
    </w:p>
    <w:p w:rsidR="00CC62D4" w:rsidRDefault="00CC62D4" w:rsidP="00CC62D4">
      <w:pPr>
        <w:ind w:left="1440" w:firstLine="720"/>
        <w:jc w:val="both"/>
        <w:rPr>
          <w:sz w:val="24"/>
          <w:lang w:eastAsia="ja-JP"/>
        </w:rPr>
      </w:pPr>
      <w:r>
        <w:rPr>
          <w:sz w:val="24"/>
          <w:lang w:eastAsia="ja-JP"/>
        </w:rPr>
        <w:t>Further, impeachment materials such as trial transcripts, deposition testimony, and learned treatises must be shown to the Court prior to use in the examination of a trial witness.</w:t>
      </w:r>
    </w:p>
    <w:p w:rsidR="00CC62D4" w:rsidRDefault="00CC62D4" w:rsidP="00CC62D4">
      <w:pPr>
        <w:ind w:left="1440"/>
        <w:jc w:val="both"/>
        <w:rPr>
          <w:sz w:val="24"/>
          <w:lang w:eastAsia="ja-JP"/>
        </w:rPr>
      </w:pPr>
    </w:p>
    <w:p w:rsidR="00CC62D4" w:rsidRDefault="00CC62D4" w:rsidP="00CC62D4">
      <w:pPr>
        <w:numPr>
          <w:ilvl w:val="1"/>
          <w:numId w:val="1"/>
        </w:numPr>
        <w:ind w:left="720" w:firstLine="720"/>
        <w:jc w:val="both"/>
        <w:rPr>
          <w:sz w:val="24"/>
          <w:lang w:eastAsia="ja-JP"/>
        </w:rPr>
      </w:pPr>
      <w:r w:rsidRPr="00DE2216">
        <w:rPr>
          <w:b/>
          <w:sz w:val="24"/>
          <w:lang w:eastAsia="ja-JP"/>
        </w:rPr>
        <w:t>Witness List</w:t>
      </w:r>
      <w:r>
        <w:rPr>
          <w:sz w:val="24"/>
          <w:lang w:eastAsia="ja-JP"/>
        </w:rPr>
        <w:t xml:space="preserve">.  </w:t>
      </w:r>
      <w:r w:rsidRPr="00CB4F1E">
        <w:rPr>
          <w:b/>
          <w:sz w:val="24"/>
          <w:lang w:eastAsia="ja-JP"/>
        </w:rPr>
        <w:t>No later than two full business days before the commencement of trial</w:t>
      </w:r>
      <w:r>
        <w:rPr>
          <w:sz w:val="24"/>
          <w:lang w:eastAsia="ja-JP"/>
        </w:rPr>
        <w:t xml:space="preserve">, each attorney shall file with the clerk of the court the original and provide to the Court a courtesy copy of a </w:t>
      </w:r>
      <w:r w:rsidR="00255DD8">
        <w:rPr>
          <w:sz w:val="24"/>
          <w:lang w:eastAsia="ja-JP"/>
        </w:rPr>
        <w:t xml:space="preserve">“refined </w:t>
      </w:r>
      <w:r>
        <w:rPr>
          <w:sz w:val="24"/>
          <w:lang w:eastAsia="ja-JP"/>
        </w:rPr>
        <w:t>list</w:t>
      </w:r>
      <w:r w:rsidR="00255DD8">
        <w:rPr>
          <w:sz w:val="24"/>
          <w:lang w:eastAsia="ja-JP"/>
        </w:rPr>
        <w:t>”</w:t>
      </w:r>
      <w:r>
        <w:rPr>
          <w:sz w:val="24"/>
          <w:lang w:eastAsia="ja-JP"/>
        </w:rPr>
        <w:t xml:space="preserve"> of all witnesses </w:t>
      </w:r>
      <w:r w:rsidR="00255DD8">
        <w:rPr>
          <w:sz w:val="24"/>
          <w:lang w:eastAsia="ja-JP"/>
        </w:rPr>
        <w:t xml:space="preserve">actually </w:t>
      </w:r>
      <w:r>
        <w:rPr>
          <w:sz w:val="24"/>
          <w:lang w:eastAsia="ja-JP"/>
        </w:rPr>
        <w:t>expected to be called at trial, listing the full names of the witness and any professional designation applicable to that witness (e.g., M.D.).  The list shall include all impeachment and rebuttal witnesses and any witness testifying via deposition.  The list also should include, if necessary, a phonetic spelling of the name.  Any witness referenced as a “records custodian” may be called only to lay a foundation for the entry of records and may not be called as a fact witness for matters outside of the records.</w:t>
      </w:r>
    </w:p>
    <w:p w:rsidR="00CC62D4" w:rsidRPr="00E243D4" w:rsidRDefault="00CC62D4" w:rsidP="00CC62D4">
      <w:pPr>
        <w:ind w:left="1440"/>
        <w:jc w:val="both"/>
        <w:rPr>
          <w:sz w:val="24"/>
          <w:lang w:eastAsia="ja-JP"/>
        </w:rPr>
      </w:pPr>
    </w:p>
    <w:p w:rsidR="00CC62D4" w:rsidRDefault="00CC62D4" w:rsidP="00CC62D4">
      <w:pPr>
        <w:numPr>
          <w:ilvl w:val="1"/>
          <w:numId w:val="1"/>
        </w:numPr>
        <w:ind w:left="720" w:firstLine="720"/>
        <w:jc w:val="both"/>
        <w:rPr>
          <w:sz w:val="24"/>
          <w:lang w:eastAsia="ja-JP"/>
        </w:rPr>
      </w:pPr>
      <w:r w:rsidRPr="00142F41">
        <w:rPr>
          <w:b/>
          <w:sz w:val="24"/>
          <w:lang w:eastAsia="ja-JP"/>
        </w:rPr>
        <w:t>Exhibit/Witness Exclusion</w:t>
      </w:r>
      <w:r>
        <w:rPr>
          <w:sz w:val="24"/>
          <w:lang w:eastAsia="ja-JP"/>
        </w:rPr>
        <w:t xml:space="preserve">.  Any witnesses or exhibits not listed in accordance with the Order Setting Trial will not be allowed to testify or be admitted absent extraordinary or compelling reasons outside the control of the attorneys for noncompliance with the pretrial order. </w:t>
      </w:r>
      <w:r w:rsidRPr="00B12774">
        <w:rPr>
          <w:i/>
          <w:sz w:val="24"/>
          <w:lang w:eastAsia="ja-JP"/>
        </w:rPr>
        <w:t xml:space="preserve">See Binger </w:t>
      </w:r>
      <w:proofErr w:type="gramStart"/>
      <w:r w:rsidRPr="00B12774">
        <w:rPr>
          <w:i/>
          <w:sz w:val="24"/>
          <w:lang w:eastAsia="ja-JP"/>
        </w:rPr>
        <w:t>v.</w:t>
      </w:r>
      <w:proofErr w:type="gramEnd"/>
      <w:r w:rsidRPr="00B12774">
        <w:rPr>
          <w:i/>
          <w:sz w:val="24"/>
          <w:lang w:eastAsia="ja-JP"/>
        </w:rPr>
        <w:t xml:space="preserve"> King Pest Control</w:t>
      </w:r>
      <w:r>
        <w:rPr>
          <w:sz w:val="24"/>
          <w:lang w:eastAsia="ja-JP"/>
        </w:rPr>
        <w:t xml:space="preserve">, 401 So. 2d 1310 (Fla. 1981); </w:t>
      </w:r>
      <w:r w:rsidRPr="00B12774">
        <w:rPr>
          <w:i/>
          <w:sz w:val="24"/>
          <w:lang w:eastAsia="ja-JP"/>
        </w:rPr>
        <w:t xml:space="preserve">Louisville Scrap Material </w:t>
      </w:r>
      <w:r>
        <w:rPr>
          <w:i/>
          <w:sz w:val="24"/>
          <w:lang w:eastAsia="ja-JP"/>
        </w:rPr>
        <w:t>Co.,</w:t>
      </w:r>
      <w:r w:rsidRPr="00B12774">
        <w:rPr>
          <w:i/>
          <w:sz w:val="24"/>
          <w:lang w:eastAsia="ja-JP"/>
        </w:rPr>
        <w:t xml:space="preserve"> Inc., v. Petroleum Packers, Inc.</w:t>
      </w:r>
      <w:r>
        <w:rPr>
          <w:sz w:val="24"/>
          <w:lang w:eastAsia="ja-JP"/>
        </w:rPr>
        <w:t>, 566 So. 2d 277 (Fla. 2d DCA 1990.</w:t>
      </w:r>
    </w:p>
    <w:p w:rsidR="00CC62D4" w:rsidRDefault="00CC62D4" w:rsidP="00CC62D4">
      <w:pPr>
        <w:pStyle w:val="ListParagraph"/>
        <w:rPr>
          <w:sz w:val="24"/>
          <w:lang w:eastAsia="ja-JP"/>
        </w:rPr>
      </w:pPr>
    </w:p>
    <w:p w:rsidR="00CC62D4" w:rsidRDefault="00CC62D4" w:rsidP="00CC62D4">
      <w:pPr>
        <w:numPr>
          <w:ilvl w:val="1"/>
          <w:numId w:val="1"/>
        </w:numPr>
        <w:ind w:left="720" w:firstLine="720"/>
        <w:jc w:val="both"/>
        <w:rPr>
          <w:sz w:val="24"/>
          <w:lang w:eastAsia="ja-JP"/>
        </w:rPr>
      </w:pPr>
      <w:r w:rsidRPr="00142F41">
        <w:rPr>
          <w:b/>
          <w:sz w:val="24"/>
          <w:lang w:eastAsia="ja-JP"/>
        </w:rPr>
        <w:t>Exchange of Lists</w:t>
      </w:r>
      <w:r w:rsidRPr="00E37A90">
        <w:rPr>
          <w:sz w:val="24"/>
          <w:lang w:eastAsia="ja-JP"/>
        </w:rPr>
        <w:t xml:space="preserve">.  </w:t>
      </w:r>
      <w:r w:rsidRPr="00CB4F1E">
        <w:rPr>
          <w:b/>
          <w:sz w:val="24"/>
          <w:lang w:eastAsia="ja-JP"/>
        </w:rPr>
        <w:t xml:space="preserve">No later than </w:t>
      </w:r>
      <w:r>
        <w:rPr>
          <w:b/>
          <w:sz w:val="24"/>
          <w:lang w:eastAsia="ja-JP"/>
        </w:rPr>
        <w:t>three</w:t>
      </w:r>
      <w:r w:rsidRPr="00CB4F1E">
        <w:rPr>
          <w:b/>
          <w:sz w:val="24"/>
          <w:lang w:eastAsia="ja-JP"/>
        </w:rPr>
        <w:t xml:space="preserve"> </w:t>
      </w:r>
      <w:r>
        <w:rPr>
          <w:b/>
          <w:sz w:val="24"/>
          <w:lang w:eastAsia="ja-JP"/>
        </w:rPr>
        <w:t xml:space="preserve">full </w:t>
      </w:r>
      <w:r w:rsidRPr="00CB4F1E">
        <w:rPr>
          <w:b/>
          <w:sz w:val="24"/>
          <w:lang w:eastAsia="ja-JP"/>
        </w:rPr>
        <w:t>business days before the commencement of trial</w:t>
      </w:r>
      <w:r>
        <w:rPr>
          <w:sz w:val="24"/>
          <w:lang w:eastAsia="ja-JP"/>
        </w:rPr>
        <w:t>, the parties shall</w:t>
      </w:r>
    </w:p>
    <w:p w:rsidR="00CC62D4" w:rsidRDefault="00CC62D4" w:rsidP="00CC62D4">
      <w:pPr>
        <w:ind w:left="1440"/>
        <w:jc w:val="both"/>
        <w:rPr>
          <w:sz w:val="24"/>
          <w:lang w:eastAsia="ja-JP"/>
        </w:rPr>
      </w:pPr>
    </w:p>
    <w:p w:rsidR="00CC62D4" w:rsidRDefault="00CC62D4" w:rsidP="00CC62D4">
      <w:pPr>
        <w:ind w:left="1440" w:firstLine="720"/>
        <w:jc w:val="both"/>
        <w:rPr>
          <w:sz w:val="24"/>
          <w:lang w:eastAsia="ja-JP"/>
        </w:rPr>
      </w:pPr>
      <w:r>
        <w:rPr>
          <w:sz w:val="24"/>
          <w:lang w:eastAsia="ja-JP"/>
        </w:rPr>
        <w:t>(1)</w:t>
      </w:r>
      <w:r>
        <w:rPr>
          <w:sz w:val="24"/>
          <w:lang w:eastAsia="ja-JP"/>
        </w:rPr>
        <w:tab/>
        <w:t>e</w:t>
      </w:r>
      <w:r w:rsidRPr="00E37A90">
        <w:rPr>
          <w:sz w:val="24"/>
          <w:lang w:eastAsia="ja-JP"/>
        </w:rPr>
        <w:t xml:space="preserve">xchange </w:t>
      </w:r>
      <w:r>
        <w:rPr>
          <w:sz w:val="24"/>
          <w:lang w:eastAsia="ja-JP"/>
        </w:rPr>
        <w:t xml:space="preserve">their respective </w:t>
      </w:r>
      <w:r w:rsidRPr="00E37A90">
        <w:rPr>
          <w:sz w:val="24"/>
          <w:lang w:eastAsia="ja-JP"/>
        </w:rPr>
        <w:t xml:space="preserve">trial exhibit list, listing with specificity each exhibit expected to be offered into evidence, denoting which </w:t>
      </w:r>
      <w:r>
        <w:rPr>
          <w:sz w:val="24"/>
          <w:lang w:eastAsia="ja-JP"/>
        </w:rPr>
        <w:t>exhibits are composite exhibits; and</w:t>
      </w:r>
    </w:p>
    <w:p w:rsidR="00CC62D4" w:rsidRPr="00E37A90" w:rsidRDefault="00CC62D4" w:rsidP="00CC62D4">
      <w:pPr>
        <w:ind w:left="1440" w:firstLine="720"/>
        <w:jc w:val="both"/>
        <w:rPr>
          <w:sz w:val="24"/>
          <w:lang w:eastAsia="ja-JP"/>
        </w:rPr>
      </w:pPr>
    </w:p>
    <w:p w:rsidR="00CC62D4" w:rsidRDefault="00CC62D4" w:rsidP="00CC62D4">
      <w:pPr>
        <w:ind w:left="1440" w:firstLine="720"/>
        <w:jc w:val="both"/>
        <w:rPr>
          <w:sz w:val="24"/>
          <w:lang w:eastAsia="ja-JP"/>
        </w:rPr>
      </w:pPr>
      <w:r>
        <w:rPr>
          <w:sz w:val="24"/>
          <w:lang w:eastAsia="ja-JP"/>
        </w:rPr>
        <w:t>(2)</w:t>
      </w:r>
      <w:r>
        <w:rPr>
          <w:sz w:val="24"/>
          <w:lang w:eastAsia="ja-JP"/>
        </w:rPr>
        <w:tab/>
        <w:t>e</w:t>
      </w:r>
      <w:r w:rsidRPr="00E37A90">
        <w:rPr>
          <w:sz w:val="24"/>
          <w:lang w:eastAsia="ja-JP"/>
        </w:rPr>
        <w:t xml:space="preserve">xchange </w:t>
      </w:r>
      <w:r>
        <w:rPr>
          <w:sz w:val="24"/>
          <w:lang w:eastAsia="ja-JP"/>
        </w:rPr>
        <w:t xml:space="preserve">their respective </w:t>
      </w:r>
      <w:r w:rsidR="00255DD8">
        <w:rPr>
          <w:sz w:val="24"/>
          <w:lang w:eastAsia="ja-JP"/>
        </w:rPr>
        <w:t xml:space="preserve">“refined” </w:t>
      </w:r>
      <w:r>
        <w:rPr>
          <w:sz w:val="24"/>
          <w:lang w:eastAsia="ja-JP"/>
        </w:rPr>
        <w:t>trial witness list</w:t>
      </w:r>
      <w:r w:rsidRPr="00E37A90">
        <w:rPr>
          <w:sz w:val="24"/>
          <w:lang w:eastAsia="ja-JP"/>
        </w:rPr>
        <w:t>, listing each witness the parties expect to</w:t>
      </w:r>
      <w:r>
        <w:rPr>
          <w:sz w:val="24"/>
          <w:lang w:eastAsia="ja-JP"/>
        </w:rPr>
        <w:t xml:space="preserve"> </w:t>
      </w:r>
      <w:r w:rsidRPr="00E37A90">
        <w:rPr>
          <w:sz w:val="24"/>
          <w:lang w:eastAsia="ja-JP"/>
        </w:rPr>
        <w:t>actually call to testify at trial, including</w:t>
      </w:r>
      <w:r w:rsidRPr="00CB520B">
        <w:rPr>
          <w:sz w:val="24"/>
          <w:lang w:eastAsia="ja-JP"/>
        </w:rPr>
        <w:t xml:space="preserve"> </w:t>
      </w:r>
      <w:r>
        <w:rPr>
          <w:sz w:val="24"/>
          <w:lang w:eastAsia="ja-JP"/>
        </w:rPr>
        <w:t>all impeachment and rebuttal witnesses and</w:t>
      </w:r>
      <w:r w:rsidRPr="00E37A90">
        <w:rPr>
          <w:sz w:val="24"/>
          <w:lang w:eastAsia="ja-JP"/>
        </w:rPr>
        <w:t xml:space="preserve"> any witness testifying via deposition.</w:t>
      </w:r>
    </w:p>
    <w:p w:rsidR="00CC62D4" w:rsidRDefault="00CC62D4" w:rsidP="00CC62D4">
      <w:pPr>
        <w:ind w:left="1440"/>
        <w:jc w:val="both"/>
        <w:rPr>
          <w:sz w:val="24"/>
          <w:lang w:eastAsia="ja-JP"/>
        </w:rPr>
      </w:pPr>
    </w:p>
    <w:p w:rsidR="00CC62D4" w:rsidRPr="00864AB9" w:rsidRDefault="00CC62D4" w:rsidP="00CC62D4">
      <w:pPr>
        <w:numPr>
          <w:ilvl w:val="1"/>
          <w:numId w:val="1"/>
        </w:numPr>
        <w:ind w:left="720" w:firstLine="720"/>
        <w:jc w:val="both"/>
        <w:rPr>
          <w:sz w:val="24"/>
          <w:lang w:eastAsia="ja-JP"/>
        </w:rPr>
      </w:pPr>
      <w:r w:rsidRPr="00142F41">
        <w:rPr>
          <w:b/>
          <w:sz w:val="24"/>
          <w:lang w:eastAsia="ja-JP"/>
        </w:rPr>
        <w:t>Review of Exhibits</w:t>
      </w:r>
      <w:r>
        <w:rPr>
          <w:sz w:val="24"/>
          <w:lang w:eastAsia="ja-JP"/>
        </w:rPr>
        <w:t xml:space="preserve">.  </w:t>
      </w:r>
      <w:r w:rsidRPr="002D5B2A">
        <w:rPr>
          <w:b/>
          <w:sz w:val="24"/>
          <w:lang w:eastAsia="ja-JP"/>
        </w:rPr>
        <w:t>No later than three full business days before the commencement of trial</w:t>
      </w:r>
      <w:r>
        <w:rPr>
          <w:sz w:val="24"/>
          <w:lang w:eastAsia="ja-JP"/>
        </w:rPr>
        <w:t xml:space="preserve">, </w:t>
      </w:r>
      <w:r w:rsidRPr="00E243D4">
        <w:rPr>
          <w:sz w:val="24"/>
          <w:lang w:eastAsia="ja-JP"/>
        </w:rPr>
        <w:t xml:space="preserve">the attorneys shall meet and review </w:t>
      </w:r>
      <w:r w:rsidRPr="005075EA">
        <w:rPr>
          <w:sz w:val="24"/>
          <w:u w:val="single"/>
          <w:lang w:eastAsia="ja-JP"/>
        </w:rPr>
        <w:t>all</w:t>
      </w:r>
      <w:r w:rsidRPr="00E243D4">
        <w:rPr>
          <w:sz w:val="24"/>
          <w:lang w:eastAsia="ja-JP"/>
        </w:rPr>
        <w:t xml:space="preserve"> proposed exhibits</w:t>
      </w:r>
      <w:r w:rsidR="00205C18">
        <w:rPr>
          <w:sz w:val="24"/>
          <w:lang w:eastAsia="ja-JP"/>
        </w:rPr>
        <w:t xml:space="preserve">, which </w:t>
      </w:r>
      <w:r w:rsidR="00205C18">
        <w:rPr>
          <w:sz w:val="24"/>
          <w:lang w:eastAsia="ja-JP"/>
        </w:rPr>
        <w:lastRenderedPageBreak/>
        <w:t xml:space="preserve">exhibits must be </w:t>
      </w:r>
      <w:r w:rsidR="00E636A5">
        <w:rPr>
          <w:sz w:val="24"/>
          <w:lang w:eastAsia="ja-JP"/>
        </w:rPr>
        <w:t>pre-marked with a permanent exhibit tag or stamp as prescribed by the clerk's office and in binders (</w:t>
      </w:r>
      <w:r w:rsidR="00E636A5" w:rsidRPr="00E636A5">
        <w:rPr>
          <w:sz w:val="24"/>
          <w:u w:val="single"/>
          <w:lang w:eastAsia="ja-JP"/>
        </w:rPr>
        <w:t>not</w:t>
      </w:r>
      <w:r w:rsidR="00E636A5">
        <w:rPr>
          <w:sz w:val="24"/>
          <w:lang w:eastAsia="ja-JP"/>
        </w:rPr>
        <w:t xml:space="preserve"> boxes or </w:t>
      </w:r>
      <w:r w:rsidR="007B460C">
        <w:rPr>
          <w:sz w:val="24"/>
          <w:lang w:eastAsia="ja-JP"/>
        </w:rPr>
        <w:t>red wells</w:t>
      </w:r>
      <w:r w:rsidR="00E636A5">
        <w:rPr>
          <w:sz w:val="24"/>
          <w:lang w:eastAsia="ja-JP"/>
        </w:rPr>
        <w:t>)</w:t>
      </w:r>
      <w:r w:rsidRPr="00E243D4">
        <w:rPr>
          <w:sz w:val="24"/>
          <w:lang w:eastAsia="ja-JP"/>
        </w:rPr>
        <w:t xml:space="preserve">. </w:t>
      </w:r>
      <w:r>
        <w:rPr>
          <w:sz w:val="24"/>
          <w:lang w:eastAsia="ja-JP"/>
        </w:rPr>
        <w:t xml:space="preserve"> </w:t>
      </w:r>
      <w:r w:rsidRPr="00E243D4">
        <w:rPr>
          <w:sz w:val="24"/>
          <w:lang w:eastAsia="ja-JP"/>
        </w:rPr>
        <w:t xml:space="preserve">Copies of any exhibits requested shall be furnished to opposing </w:t>
      </w:r>
      <w:r>
        <w:rPr>
          <w:sz w:val="24"/>
          <w:lang w:eastAsia="ja-JP"/>
        </w:rPr>
        <w:t>c</w:t>
      </w:r>
      <w:r w:rsidRPr="00E243D4">
        <w:rPr>
          <w:sz w:val="24"/>
          <w:lang w:eastAsia="ja-JP"/>
        </w:rPr>
        <w:t>ounsel at that time</w:t>
      </w:r>
      <w:r>
        <w:rPr>
          <w:sz w:val="24"/>
          <w:lang w:eastAsia="ja-JP"/>
        </w:rPr>
        <w:t>,</w:t>
      </w:r>
      <w:r w:rsidRPr="00E243D4">
        <w:rPr>
          <w:sz w:val="24"/>
          <w:lang w:eastAsia="ja-JP"/>
        </w:rPr>
        <w:t xml:space="preserve"> if not previously furnished. </w:t>
      </w:r>
      <w:r>
        <w:rPr>
          <w:sz w:val="24"/>
          <w:lang w:eastAsia="ja-JP"/>
        </w:rPr>
        <w:t xml:space="preserve"> D</w:t>
      </w:r>
      <w:r w:rsidRPr="00E243D4">
        <w:rPr>
          <w:sz w:val="24"/>
          <w:lang w:eastAsia="ja-JP"/>
        </w:rPr>
        <w:t>uring the presentation of evidence, it shall not be required</w:t>
      </w:r>
      <w:r>
        <w:rPr>
          <w:sz w:val="24"/>
          <w:lang w:eastAsia="ja-JP"/>
        </w:rPr>
        <w:t>,</w:t>
      </w:r>
      <w:r w:rsidRPr="00E243D4">
        <w:rPr>
          <w:sz w:val="24"/>
          <w:lang w:eastAsia="ja-JP"/>
        </w:rPr>
        <w:t xml:space="preserve"> and </w:t>
      </w:r>
      <w:r>
        <w:rPr>
          <w:sz w:val="24"/>
          <w:lang w:eastAsia="ja-JP"/>
        </w:rPr>
        <w:t>c</w:t>
      </w:r>
      <w:r w:rsidRPr="00E243D4">
        <w:rPr>
          <w:sz w:val="24"/>
          <w:lang w:eastAsia="ja-JP"/>
        </w:rPr>
        <w:t>ounsel</w:t>
      </w:r>
      <w:r>
        <w:rPr>
          <w:sz w:val="24"/>
          <w:lang w:eastAsia="ja-JP"/>
        </w:rPr>
        <w:t xml:space="preserve"> for the parties</w:t>
      </w:r>
      <w:r w:rsidRPr="00E243D4">
        <w:rPr>
          <w:sz w:val="24"/>
          <w:lang w:eastAsia="ja-JP"/>
        </w:rPr>
        <w:t xml:space="preserve"> are directed not to</w:t>
      </w:r>
      <w:r>
        <w:rPr>
          <w:sz w:val="24"/>
          <w:lang w:eastAsia="ja-JP"/>
        </w:rPr>
        <w:t>,</w:t>
      </w:r>
      <w:r w:rsidRPr="00E243D4">
        <w:rPr>
          <w:sz w:val="24"/>
          <w:lang w:eastAsia="ja-JP"/>
        </w:rPr>
        <w:t xml:space="preserve"> “tender</w:t>
      </w:r>
      <w:r>
        <w:rPr>
          <w:sz w:val="24"/>
          <w:lang w:eastAsia="ja-JP"/>
        </w:rPr>
        <w:t>,</w:t>
      </w:r>
      <w:r w:rsidRPr="00E243D4">
        <w:rPr>
          <w:sz w:val="24"/>
          <w:lang w:eastAsia="ja-JP"/>
        </w:rPr>
        <w:t xml:space="preserve">” any exhibit to opposing </w:t>
      </w:r>
      <w:r>
        <w:rPr>
          <w:sz w:val="24"/>
          <w:lang w:eastAsia="ja-JP"/>
        </w:rPr>
        <w:t>c</w:t>
      </w:r>
      <w:r w:rsidRPr="00E243D4">
        <w:rPr>
          <w:sz w:val="24"/>
          <w:lang w:eastAsia="ja-JP"/>
        </w:rPr>
        <w:t xml:space="preserve">ounsel for review in the presence of the </w:t>
      </w:r>
      <w:r w:rsidR="00D40524">
        <w:rPr>
          <w:sz w:val="24"/>
          <w:lang w:eastAsia="ja-JP"/>
        </w:rPr>
        <w:t>Court</w:t>
      </w:r>
      <w:r w:rsidRPr="00E243D4">
        <w:rPr>
          <w:sz w:val="24"/>
          <w:lang w:eastAsia="ja-JP"/>
        </w:rPr>
        <w:t xml:space="preserve">. </w:t>
      </w:r>
      <w:r>
        <w:rPr>
          <w:sz w:val="24"/>
          <w:lang w:eastAsia="ja-JP"/>
        </w:rPr>
        <w:t xml:space="preserve"> Any exhibit for which no stipulation as to its admissibility exists </w:t>
      </w:r>
      <w:r w:rsidRPr="00E243D4">
        <w:rPr>
          <w:sz w:val="24"/>
          <w:lang w:eastAsia="ja-JP"/>
        </w:rPr>
        <w:t>shall be pre-marked for identification, tendered to the witness</w:t>
      </w:r>
      <w:r>
        <w:rPr>
          <w:sz w:val="24"/>
          <w:lang w:eastAsia="ja-JP"/>
        </w:rPr>
        <w:t>,</w:t>
      </w:r>
      <w:r w:rsidRPr="00E243D4">
        <w:rPr>
          <w:sz w:val="24"/>
          <w:lang w:eastAsia="ja-JP"/>
        </w:rPr>
        <w:t xml:space="preserve"> and after sufficient evidentiary predicate has been established, tendered to the Court and offered into evidence.</w:t>
      </w:r>
      <w:r>
        <w:rPr>
          <w:sz w:val="24"/>
          <w:lang w:eastAsia="ja-JP"/>
        </w:rPr>
        <w:t xml:space="preserve">  Demonstrative exhibits may not be displayed when not in use with a witness.  Exhibits admitted into evidence shall be kept by the deputy clerk of the court except</w:t>
      </w:r>
      <w:r w:rsidR="00D40524">
        <w:rPr>
          <w:sz w:val="24"/>
          <w:lang w:eastAsia="ja-JP"/>
        </w:rPr>
        <w:t xml:space="preserve"> when being used by a witness.</w:t>
      </w:r>
    </w:p>
    <w:p w:rsidR="00CC62D4" w:rsidRDefault="00CC62D4" w:rsidP="0006066D">
      <w:pPr>
        <w:jc w:val="both"/>
        <w:rPr>
          <w:sz w:val="24"/>
          <w:lang w:eastAsia="ja-JP"/>
        </w:rPr>
      </w:pPr>
    </w:p>
    <w:p w:rsidR="00CC62D4" w:rsidRDefault="00CC62D4" w:rsidP="00CC62D4">
      <w:pPr>
        <w:numPr>
          <w:ilvl w:val="0"/>
          <w:numId w:val="1"/>
        </w:numPr>
        <w:ind w:left="0" w:firstLine="720"/>
        <w:jc w:val="both"/>
        <w:rPr>
          <w:sz w:val="24"/>
          <w:lang w:eastAsia="ja-JP"/>
        </w:rPr>
      </w:pPr>
      <w:r w:rsidRPr="009571B7">
        <w:rPr>
          <w:b/>
          <w:sz w:val="24"/>
          <w:u w:val="single"/>
          <w:lang w:eastAsia="ja-JP"/>
        </w:rPr>
        <w:t>Witness Examination</w:t>
      </w:r>
      <w:r w:rsidRPr="008D5144">
        <w:rPr>
          <w:sz w:val="24"/>
          <w:lang w:eastAsia="ja-JP"/>
        </w:rPr>
        <w:t>.  The examination of witnesses shall be limited to direct examination, cross-examination</w:t>
      </w:r>
      <w:r>
        <w:rPr>
          <w:sz w:val="24"/>
          <w:lang w:eastAsia="ja-JP"/>
        </w:rPr>
        <w:t>,</w:t>
      </w:r>
      <w:r w:rsidRPr="008D5144">
        <w:rPr>
          <w:sz w:val="24"/>
          <w:lang w:eastAsia="ja-JP"/>
        </w:rPr>
        <w:t xml:space="preserve"> and re-direct examination. </w:t>
      </w:r>
      <w:r w:rsidRPr="00937AE9">
        <w:rPr>
          <w:i/>
          <w:sz w:val="24"/>
          <w:lang w:eastAsia="ja-JP"/>
        </w:rPr>
        <w:t>See</w:t>
      </w:r>
      <w:r w:rsidRPr="00937AE9">
        <w:rPr>
          <w:sz w:val="24"/>
          <w:lang w:eastAsia="ja-JP"/>
        </w:rPr>
        <w:t xml:space="preserve"> </w:t>
      </w:r>
      <w:r w:rsidRPr="00237911">
        <w:rPr>
          <w:i/>
          <w:sz w:val="24"/>
          <w:lang w:eastAsia="ja-JP"/>
        </w:rPr>
        <w:t>Fla. Stat</w:t>
      </w:r>
      <w:r>
        <w:rPr>
          <w:sz w:val="24"/>
          <w:lang w:eastAsia="ja-JP"/>
        </w:rPr>
        <w:t>. §</w:t>
      </w:r>
      <w:r w:rsidRPr="00937AE9">
        <w:rPr>
          <w:sz w:val="24"/>
          <w:lang w:eastAsia="ja-JP"/>
        </w:rPr>
        <w:t xml:space="preserve"> 90.612</w:t>
      </w:r>
      <w:r>
        <w:rPr>
          <w:sz w:val="24"/>
          <w:lang w:eastAsia="ja-JP"/>
        </w:rPr>
        <w:t>.</w:t>
      </w:r>
    </w:p>
    <w:p w:rsidR="00CC62D4" w:rsidRDefault="00CC62D4" w:rsidP="00CC62D4">
      <w:pPr>
        <w:ind w:left="720"/>
        <w:jc w:val="both"/>
        <w:rPr>
          <w:sz w:val="24"/>
          <w:lang w:eastAsia="ja-JP"/>
        </w:rPr>
      </w:pPr>
    </w:p>
    <w:p w:rsidR="00CC62D4" w:rsidRDefault="00CC62D4" w:rsidP="00CC62D4">
      <w:pPr>
        <w:numPr>
          <w:ilvl w:val="0"/>
          <w:numId w:val="1"/>
        </w:numPr>
        <w:ind w:left="0" w:firstLine="720"/>
        <w:jc w:val="both"/>
        <w:rPr>
          <w:sz w:val="24"/>
          <w:lang w:eastAsia="ja-JP"/>
        </w:rPr>
      </w:pPr>
      <w:r w:rsidRPr="009571B7">
        <w:rPr>
          <w:b/>
          <w:sz w:val="24"/>
          <w:u w:val="single"/>
          <w:lang w:eastAsia="ja-JP"/>
        </w:rPr>
        <w:t>Evidentiary Objections</w:t>
      </w:r>
      <w:r w:rsidRPr="008D5144">
        <w:rPr>
          <w:sz w:val="24"/>
          <w:lang w:eastAsia="ja-JP"/>
        </w:rPr>
        <w:t>.  In making objections, the attorney making the objection shall announce the legal basis for the objection without further argument</w:t>
      </w:r>
      <w:r>
        <w:rPr>
          <w:sz w:val="24"/>
          <w:lang w:eastAsia="ja-JP"/>
        </w:rPr>
        <w:t xml:space="preserve"> (e.g., “Objection, hearsay.”)</w:t>
      </w:r>
      <w:r w:rsidRPr="008D5144">
        <w:rPr>
          <w:sz w:val="24"/>
          <w:lang w:eastAsia="ja-JP"/>
        </w:rPr>
        <w:t xml:space="preserve">.  The responding attorney shall respond accordingly, giving only the legal basis for opposing the objection. </w:t>
      </w:r>
      <w:r>
        <w:rPr>
          <w:sz w:val="24"/>
          <w:lang w:eastAsia="ja-JP"/>
        </w:rPr>
        <w:t xml:space="preserve"> </w:t>
      </w:r>
      <w:r w:rsidRPr="008D5144">
        <w:rPr>
          <w:sz w:val="24"/>
          <w:lang w:eastAsia="ja-JP"/>
        </w:rPr>
        <w:t xml:space="preserve">Neither attorney shall make any </w:t>
      </w:r>
      <w:r>
        <w:rPr>
          <w:sz w:val="24"/>
          <w:lang w:eastAsia="ja-JP"/>
        </w:rPr>
        <w:t>further</w:t>
      </w:r>
      <w:r w:rsidRPr="008D5144">
        <w:rPr>
          <w:sz w:val="24"/>
          <w:lang w:eastAsia="ja-JP"/>
        </w:rPr>
        <w:t xml:space="preserve"> argument or comment</w:t>
      </w:r>
      <w:r w:rsidR="00D40524">
        <w:rPr>
          <w:sz w:val="24"/>
          <w:lang w:eastAsia="ja-JP"/>
        </w:rPr>
        <w:t xml:space="preserve"> except</w:t>
      </w:r>
      <w:r w:rsidRPr="008D5144">
        <w:rPr>
          <w:sz w:val="24"/>
          <w:lang w:eastAsia="ja-JP"/>
        </w:rPr>
        <w:t xml:space="preserve"> upon the </w:t>
      </w:r>
      <w:r w:rsidR="00D40524">
        <w:rPr>
          <w:sz w:val="24"/>
          <w:lang w:eastAsia="ja-JP"/>
        </w:rPr>
        <w:t>C</w:t>
      </w:r>
      <w:r w:rsidRPr="008D5144">
        <w:rPr>
          <w:sz w:val="24"/>
          <w:lang w:eastAsia="ja-JP"/>
        </w:rPr>
        <w:t>ourt's directive.</w:t>
      </w:r>
    </w:p>
    <w:p w:rsidR="00CC62D4" w:rsidRDefault="00CC62D4" w:rsidP="00CC62D4">
      <w:pPr>
        <w:pStyle w:val="ListParagraph"/>
        <w:rPr>
          <w:sz w:val="24"/>
          <w:lang w:eastAsia="ja-JP"/>
        </w:rPr>
      </w:pPr>
    </w:p>
    <w:p w:rsidR="00CC62D4" w:rsidRPr="00AF75B8" w:rsidRDefault="00CC62D4" w:rsidP="00CC62D4">
      <w:pPr>
        <w:numPr>
          <w:ilvl w:val="0"/>
          <w:numId w:val="1"/>
        </w:numPr>
        <w:ind w:left="0" w:firstLine="720"/>
        <w:jc w:val="both"/>
        <w:rPr>
          <w:sz w:val="24"/>
          <w:lang w:eastAsia="ja-JP"/>
        </w:rPr>
      </w:pPr>
      <w:r w:rsidRPr="00D17FE5">
        <w:rPr>
          <w:b/>
          <w:sz w:val="24"/>
          <w:u w:val="single"/>
          <w:lang w:eastAsia="ja-JP"/>
        </w:rPr>
        <w:t>No Surprise Expert Opinions or In-Court Demonstrations</w:t>
      </w:r>
      <w:r>
        <w:rPr>
          <w:sz w:val="24"/>
          <w:lang w:eastAsia="ja-JP"/>
        </w:rPr>
        <w:t xml:space="preserve">.  All expert opinions being offered during trial must be disclosed in conformance with the Order Setting Trial.  This includes new opinions based on demonstrations or manipulations of demonstrative exhibits during trial.  Any untimely disclosed opinion or any opinion not disclosed in </w:t>
      </w:r>
      <w:r w:rsidRPr="00607B3A">
        <w:rPr>
          <w:sz w:val="24"/>
          <w:u w:val="single"/>
          <w:lang w:eastAsia="ja-JP"/>
        </w:rPr>
        <w:t>reasonably sufficient detail</w:t>
      </w:r>
      <w:r>
        <w:rPr>
          <w:sz w:val="24"/>
          <w:lang w:eastAsia="ja-JP"/>
        </w:rPr>
        <w:t xml:space="preserve"> (a) in the party’s designation of expert witnesses pursuant to paragraph 3 of the Order Setting Trial; (b) in a party’s response to expert discovery requests; (c) in an expert’s written report; or (d) during an expert’s deposition, shall be excluded at trial </w:t>
      </w:r>
      <w:r w:rsidRPr="00AF75B8">
        <w:rPr>
          <w:sz w:val="24"/>
          <w:u w:val="single"/>
          <w:lang w:eastAsia="ja-JP"/>
        </w:rPr>
        <w:t>unless</w:t>
      </w:r>
      <w:r w:rsidRPr="00AF75B8">
        <w:rPr>
          <w:sz w:val="24"/>
          <w:lang w:eastAsia="ja-JP"/>
        </w:rPr>
        <w:t xml:space="preserve"> good cause for its admissibility is demonstrated by the party seeking admission of the opinion.</w:t>
      </w:r>
    </w:p>
    <w:p w:rsidR="00CC62D4" w:rsidRDefault="00CC62D4" w:rsidP="00CC62D4">
      <w:pPr>
        <w:pStyle w:val="ListParagraph"/>
        <w:rPr>
          <w:sz w:val="24"/>
          <w:lang w:eastAsia="ja-JP"/>
        </w:rPr>
      </w:pPr>
    </w:p>
    <w:p w:rsidR="00CC62D4" w:rsidRDefault="00CC62D4" w:rsidP="00CC62D4">
      <w:pPr>
        <w:numPr>
          <w:ilvl w:val="0"/>
          <w:numId w:val="1"/>
        </w:numPr>
        <w:ind w:left="0" w:firstLine="720"/>
        <w:jc w:val="both"/>
        <w:rPr>
          <w:sz w:val="24"/>
          <w:lang w:eastAsia="ja-JP"/>
        </w:rPr>
      </w:pPr>
      <w:r w:rsidRPr="00864AB9">
        <w:rPr>
          <w:b/>
          <w:sz w:val="24"/>
          <w:u w:val="single"/>
          <w:lang w:eastAsia="ja-JP"/>
        </w:rPr>
        <w:t>No Surprise Material to be Included in Power Point Presentation</w:t>
      </w:r>
      <w:r>
        <w:rPr>
          <w:sz w:val="24"/>
          <w:lang w:eastAsia="ja-JP"/>
        </w:rPr>
        <w:t xml:space="preserve">.  If counsel intends to use a power point presentation during opening statement or closing argument and the presentation contains material other than counsel’s mental impressions or trial strategy, such as exhibits or the Standard Mortality Tables, such material must be disclosed to opposing counsel and the Court </w:t>
      </w:r>
      <w:r w:rsidRPr="00B264BA">
        <w:rPr>
          <w:b/>
          <w:sz w:val="24"/>
          <w:lang w:eastAsia="ja-JP"/>
        </w:rPr>
        <w:t>no later than the commencement of trial</w:t>
      </w:r>
      <w:r>
        <w:rPr>
          <w:sz w:val="24"/>
          <w:lang w:eastAsia="ja-JP"/>
        </w:rPr>
        <w:t>.</w:t>
      </w:r>
    </w:p>
    <w:p w:rsidR="00CC62D4" w:rsidRDefault="00CC62D4" w:rsidP="00CC62D4">
      <w:pPr>
        <w:pStyle w:val="ListParagraph"/>
        <w:rPr>
          <w:sz w:val="24"/>
          <w:lang w:eastAsia="ja-JP"/>
        </w:rPr>
      </w:pPr>
    </w:p>
    <w:p w:rsidR="00CC62D4" w:rsidRDefault="00CC62D4" w:rsidP="00CC62D4">
      <w:pPr>
        <w:numPr>
          <w:ilvl w:val="0"/>
          <w:numId w:val="1"/>
        </w:numPr>
        <w:ind w:left="0" w:firstLine="720"/>
        <w:jc w:val="both"/>
        <w:rPr>
          <w:sz w:val="24"/>
          <w:lang w:eastAsia="ja-JP"/>
        </w:rPr>
      </w:pPr>
      <w:r w:rsidRPr="00864AB9">
        <w:rPr>
          <w:b/>
          <w:sz w:val="24"/>
          <w:u w:val="single"/>
          <w:lang w:eastAsia="ja-JP"/>
        </w:rPr>
        <w:t>No Surprise Demonstrative Exhibits</w:t>
      </w:r>
      <w:r>
        <w:rPr>
          <w:sz w:val="24"/>
          <w:lang w:eastAsia="ja-JP"/>
        </w:rPr>
        <w:t xml:space="preserve">.  Demonstrative exhibits and aids in the possession of an expert witness must be disclosed and reviewed by opposing counsel and the Court </w:t>
      </w:r>
      <w:r w:rsidRPr="00B264BA">
        <w:rPr>
          <w:b/>
          <w:sz w:val="24"/>
          <w:lang w:eastAsia="ja-JP"/>
        </w:rPr>
        <w:t>no later than the commencement of trial</w:t>
      </w:r>
      <w:r>
        <w:rPr>
          <w:sz w:val="24"/>
          <w:lang w:eastAsia="ja-JP"/>
        </w:rPr>
        <w:t>.</w:t>
      </w:r>
    </w:p>
    <w:p w:rsidR="00CC62D4" w:rsidRDefault="00CC62D4" w:rsidP="00CC62D4">
      <w:pPr>
        <w:ind w:left="720"/>
        <w:jc w:val="both"/>
        <w:rPr>
          <w:sz w:val="24"/>
          <w:lang w:eastAsia="ja-JP"/>
        </w:rPr>
      </w:pPr>
    </w:p>
    <w:p w:rsidR="00E243D4" w:rsidRDefault="00791AE6" w:rsidP="00DF4BB6">
      <w:pPr>
        <w:numPr>
          <w:ilvl w:val="0"/>
          <w:numId w:val="1"/>
        </w:numPr>
        <w:ind w:left="0" w:firstLine="720"/>
        <w:jc w:val="both"/>
        <w:rPr>
          <w:sz w:val="24"/>
          <w:lang w:eastAsia="ja-JP"/>
        </w:rPr>
      </w:pPr>
      <w:r w:rsidRPr="009571B7">
        <w:rPr>
          <w:b/>
          <w:sz w:val="24"/>
          <w:u w:val="single"/>
          <w:lang w:eastAsia="ja-JP"/>
        </w:rPr>
        <w:t>Waiver of Records Custodians</w:t>
      </w:r>
      <w:r>
        <w:rPr>
          <w:sz w:val="24"/>
          <w:lang w:eastAsia="ja-JP"/>
        </w:rPr>
        <w:t>.</w:t>
      </w:r>
      <w:r w:rsidR="008778FE">
        <w:rPr>
          <w:sz w:val="24"/>
          <w:lang w:eastAsia="ja-JP"/>
        </w:rPr>
        <w:t xml:space="preserve">  </w:t>
      </w:r>
      <w:r w:rsidR="008778FE" w:rsidRPr="008778FE">
        <w:rPr>
          <w:sz w:val="24"/>
          <w:lang w:eastAsia="ja-JP"/>
        </w:rPr>
        <w:t>If the parties have stipulated to waive records custodians, business records admissible under the business records exception to the hearsay rule (</w:t>
      </w:r>
      <w:r w:rsidR="00DF4BB6" w:rsidRPr="00DF4BB6">
        <w:rPr>
          <w:i/>
          <w:sz w:val="24"/>
          <w:lang w:eastAsia="ja-JP"/>
        </w:rPr>
        <w:t>Fla. Stat</w:t>
      </w:r>
      <w:r w:rsidR="008778FE" w:rsidRPr="008778FE">
        <w:rPr>
          <w:sz w:val="24"/>
          <w:lang w:eastAsia="ja-JP"/>
        </w:rPr>
        <w:t>.</w:t>
      </w:r>
      <w:r w:rsidR="00DF4BB6">
        <w:rPr>
          <w:sz w:val="24"/>
          <w:lang w:eastAsia="ja-JP"/>
        </w:rPr>
        <w:t xml:space="preserve"> </w:t>
      </w:r>
      <w:r w:rsidR="00DF4BB6" w:rsidRPr="00DF4BB6">
        <w:rPr>
          <w:sz w:val="24"/>
          <w:lang w:eastAsia="ja-JP"/>
        </w:rPr>
        <w:t>§</w:t>
      </w:r>
      <w:r w:rsidR="008778FE" w:rsidRPr="008778FE">
        <w:rPr>
          <w:sz w:val="24"/>
          <w:lang w:eastAsia="ja-JP"/>
        </w:rPr>
        <w:t xml:space="preserve"> 90.803(6)) will be admissible without the necessity of calling a qualified witness, absent a</w:t>
      </w:r>
      <w:r w:rsidR="00DF4BB6">
        <w:rPr>
          <w:sz w:val="24"/>
          <w:lang w:eastAsia="ja-JP"/>
        </w:rPr>
        <w:t xml:space="preserve"> </w:t>
      </w:r>
      <w:r w:rsidR="008778FE" w:rsidRPr="008778FE">
        <w:rPr>
          <w:sz w:val="24"/>
          <w:lang w:eastAsia="ja-JP"/>
        </w:rPr>
        <w:t xml:space="preserve">showing that the records are otherwise untrustworthy. </w:t>
      </w:r>
      <w:r w:rsidR="008778FE" w:rsidRPr="00DF4BB6">
        <w:rPr>
          <w:i/>
          <w:sz w:val="24"/>
          <w:lang w:eastAsia="ja-JP"/>
        </w:rPr>
        <w:t xml:space="preserve">See </w:t>
      </w:r>
      <w:proofErr w:type="spellStart"/>
      <w:r w:rsidR="008778FE" w:rsidRPr="00DF4BB6">
        <w:rPr>
          <w:i/>
          <w:sz w:val="24"/>
          <w:lang w:eastAsia="ja-JP"/>
        </w:rPr>
        <w:t>Heckford</w:t>
      </w:r>
      <w:proofErr w:type="spellEnd"/>
      <w:r w:rsidR="008778FE" w:rsidRPr="00DF4BB6">
        <w:rPr>
          <w:i/>
          <w:sz w:val="24"/>
          <w:lang w:eastAsia="ja-JP"/>
        </w:rPr>
        <w:t xml:space="preserve"> v. F.D.O.C</w:t>
      </w:r>
      <w:r w:rsidR="008778FE" w:rsidRPr="008778FE">
        <w:rPr>
          <w:sz w:val="24"/>
          <w:lang w:eastAsia="ja-JP"/>
        </w:rPr>
        <w:t>., 699</w:t>
      </w:r>
      <w:r w:rsidR="0026789C">
        <w:rPr>
          <w:sz w:val="24"/>
          <w:lang w:eastAsia="ja-JP"/>
        </w:rPr>
        <w:t xml:space="preserve"> So. 2d 247 (Fla. 1st DCA 1997) (</w:t>
      </w:r>
      <w:r w:rsidR="008778FE" w:rsidRPr="008778FE">
        <w:rPr>
          <w:sz w:val="24"/>
          <w:lang w:eastAsia="ja-JP"/>
        </w:rPr>
        <w:t xml:space="preserve">holding that, where parties waived records custodians, medical records, specifically the report of an independent medical examining physician, are admissible </w:t>
      </w:r>
      <w:r w:rsidR="008778FE" w:rsidRPr="008778FE">
        <w:rPr>
          <w:sz w:val="24"/>
          <w:lang w:eastAsia="ja-JP"/>
        </w:rPr>
        <w:lastRenderedPageBreak/>
        <w:t xml:space="preserve">under </w:t>
      </w:r>
      <w:r w:rsidR="00DF4BB6" w:rsidRPr="00DF4BB6">
        <w:rPr>
          <w:sz w:val="24"/>
          <w:lang w:eastAsia="ja-JP"/>
        </w:rPr>
        <w:t xml:space="preserve">§ </w:t>
      </w:r>
      <w:r w:rsidR="008778FE" w:rsidRPr="008778FE">
        <w:rPr>
          <w:sz w:val="24"/>
          <w:lang w:eastAsia="ja-JP"/>
        </w:rPr>
        <w:t>90.803(b), absent proof that report was not trustworthy</w:t>
      </w:r>
      <w:r w:rsidR="0026789C">
        <w:rPr>
          <w:sz w:val="24"/>
          <w:lang w:eastAsia="ja-JP"/>
        </w:rPr>
        <w:t>)</w:t>
      </w:r>
      <w:r w:rsidR="008778FE" w:rsidRPr="008778FE">
        <w:rPr>
          <w:sz w:val="24"/>
          <w:lang w:eastAsia="ja-JP"/>
        </w:rPr>
        <w:t xml:space="preserve">. </w:t>
      </w:r>
      <w:r w:rsidR="008778FE" w:rsidRPr="00DF4BB6">
        <w:rPr>
          <w:i/>
          <w:sz w:val="24"/>
          <w:lang w:eastAsia="ja-JP"/>
        </w:rPr>
        <w:t>See also</w:t>
      </w:r>
      <w:r w:rsidR="0026789C">
        <w:rPr>
          <w:i/>
          <w:sz w:val="24"/>
          <w:lang w:eastAsia="ja-JP"/>
        </w:rPr>
        <w:t>,</w:t>
      </w:r>
      <w:r w:rsidR="008778FE" w:rsidRPr="00DF4BB6">
        <w:rPr>
          <w:i/>
          <w:sz w:val="24"/>
          <w:lang w:eastAsia="ja-JP"/>
        </w:rPr>
        <w:t xml:space="preserve"> Love v. Garcia</w:t>
      </w:r>
      <w:r w:rsidR="008778FE" w:rsidRPr="008778FE">
        <w:rPr>
          <w:sz w:val="24"/>
          <w:lang w:eastAsia="ja-JP"/>
        </w:rPr>
        <w:t>, 634 So. 2d 158 (Fla. 1994).</w:t>
      </w:r>
    </w:p>
    <w:p w:rsidR="008778FE" w:rsidRPr="008778FE" w:rsidRDefault="008778FE" w:rsidP="008778FE">
      <w:pPr>
        <w:ind w:left="720"/>
        <w:jc w:val="both"/>
        <w:rPr>
          <w:sz w:val="24"/>
          <w:lang w:eastAsia="ja-JP"/>
        </w:rPr>
      </w:pPr>
    </w:p>
    <w:p w:rsidR="00E243D4" w:rsidRDefault="00F94053" w:rsidP="00870A8B">
      <w:pPr>
        <w:numPr>
          <w:ilvl w:val="0"/>
          <w:numId w:val="1"/>
        </w:numPr>
        <w:ind w:left="0" w:firstLine="720"/>
        <w:jc w:val="both"/>
        <w:rPr>
          <w:sz w:val="24"/>
          <w:lang w:eastAsia="ja-JP"/>
        </w:rPr>
      </w:pPr>
      <w:r w:rsidRPr="009571B7">
        <w:rPr>
          <w:b/>
          <w:sz w:val="24"/>
          <w:u w:val="single"/>
          <w:lang w:eastAsia="ja-JP"/>
        </w:rPr>
        <w:t>Deposition Transcript Review</w:t>
      </w:r>
      <w:r>
        <w:rPr>
          <w:sz w:val="24"/>
          <w:lang w:eastAsia="ja-JP"/>
        </w:rPr>
        <w:t>.</w:t>
      </w:r>
      <w:r w:rsidR="008778FE">
        <w:rPr>
          <w:sz w:val="24"/>
          <w:lang w:eastAsia="ja-JP"/>
        </w:rPr>
        <w:t xml:space="preserve">  </w:t>
      </w:r>
      <w:r w:rsidR="008778FE" w:rsidRPr="008778FE">
        <w:rPr>
          <w:sz w:val="24"/>
          <w:lang w:eastAsia="ja-JP"/>
        </w:rPr>
        <w:t xml:space="preserve">If any party intends to publish to the </w:t>
      </w:r>
      <w:r w:rsidR="00285C2F">
        <w:rPr>
          <w:sz w:val="24"/>
          <w:lang w:eastAsia="ja-JP"/>
        </w:rPr>
        <w:t xml:space="preserve">Court </w:t>
      </w:r>
      <w:r w:rsidR="008778FE" w:rsidRPr="008778FE">
        <w:rPr>
          <w:sz w:val="24"/>
          <w:lang w:eastAsia="ja-JP"/>
        </w:rPr>
        <w:t xml:space="preserve">all or any portion of a deposition transcript, </w:t>
      </w:r>
      <w:r w:rsidR="00DF4BB6">
        <w:rPr>
          <w:sz w:val="24"/>
          <w:lang w:eastAsia="ja-JP"/>
        </w:rPr>
        <w:t xml:space="preserve">the </w:t>
      </w:r>
      <w:r w:rsidR="008778FE" w:rsidRPr="008778FE">
        <w:rPr>
          <w:sz w:val="24"/>
          <w:lang w:eastAsia="ja-JP"/>
        </w:rPr>
        <w:t xml:space="preserve">party shall </w:t>
      </w:r>
      <w:r w:rsidR="00285C2F">
        <w:rPr>
          <w:sz w:val="24"/>
          <w:lang w:eastAsia="ja-JP"/>
        </w:rPr>
        <w:t>deliver</w:t>
      </w:r>
      <w:r w:rsidR="008778FE" w:rsidRPr="008778FE">
        <w:rPr>
          <w:sz w:val="24"/>
          <w:lang w:eastAsia="ja-JP"/>
        </w:rPr>
        <w:t xml:space="preserve"> to opposing Counsel </w:t>
      </w:r>
      <w:r w:rsidR="00285C2F">
        <w:rPr>
          <w:sz w:val="24"/>
          <w:lang w:eastAsia="ja-JP"/>
        </w:rPr>
        <w:t xml:space="preserve">on or before the Friday before commencement of trial </w:t>
      </w:r>
      <w:r w:rsidR="008778FE" w:rsidRPr="008778FE">
        <w:rPr>
          <w:sz w:val="24"/>
          <w:lang w:eastAsia="ja-JP"/>
        </w:rPr>
        <w:t xml:space="preserve">a page and line reference of all testimony intended to be published.  Any and all objections to any portions of deposition transcripts to be offered into evidence shall be made known to the </w:t>
      </w:r>
      <w:r w:rsidR="00DF4BB6">
        <w:rPr>
          <w:sz w:val="24"/>
          <w:lang w:eastAsia="ja-JP"/>
        </w:rPr>
        <w:t>C</w:t>
      </w:r>
      <w:r w:rsidR="008778FE" w:rsidRPr="008778FE">
        <w:rPr>
          <w:sz w:val="24"/>
          <w:lang w:eastAsia="ja-JP"/>
        </w:rPr>
        <w:t xml:space="preserve">ourt and shall be considered by the Court </w:t>
      </w:r>
      <w:r w:rsidR="008778FE" w:rsidRPr="0006066D">
        <w:rPr>
          <w:b/>
          <w:sz w:val="24"/>
          <w:lang w:eastAsia="ja-JP"/>
        </w:rPr>
        <w:t>no later than the</w:t>
      </w:r>
      <w:r w:rsidR="00C37463" w:rsidRPr="0006066D">
        <w:rPr>
          <w:b/>
          <w:sz w:val="24"/>
          <w:lang w:eastAsia="ja-JP"/>
        </w:rPr>
        <w:t xml:space="preserve"> week before the</w:t>
      </w:r>
      <w:r w:rsidR="00285C2F" w:rsidRPr="0006066D">
        <w:rPr>
          <w:b/>
          <w:sz w:val="24"/>
          <w:lang w:eastAsia="ja-JP"/>
        </w:rPr>
        <w:t xml:space="preserve"> </w:t>
      </w:r>
      <w:r w:rsidR="00285C2F" w:rsidRPr="001275F1">
        <w:rPr>
          <w:b/>
          <w:sz w:val="24"/>
          <w:lang w:eastAsia="ja-JP"/>
        </w:rPr>
        <w:t>commencement of trial</w:t>
      </w:r>
      <w:r w:rsidR="008778FE" w:rsidRPr="008778FE">
        <w:rPr>
          <w:sz w:val="24"/>
          <w:lang w:eastAsia="ja-JP"/>
        </w:rPr>
        <w:t>.</w:t>
      </w:r>
    </w:p>
    <w:p w:rsidR="00C37463" w:rsidRDefault="00C37463" w:rsidP="00C37463">
      <w:pPr>
        <w:pStyle w:val="ListParagraph"/>
        <w:rPr>
          <w:sz w:val="24"/>
          <w:lang w:eastAsia="ja-JP"/>
        </w:rPr>
      </w:pPr>
    </w:p>
    <w:p w:rsidR="00C37463" w:rsidRDefault="00C37463" w:rsidP="00C37463">
      <w:pPr>
        <w:numPr>
          <w:ilvl w:val="0"/>
          <w:numId w:val="1"/>
        </w:numPr>
        <w:ind w:left="0" w:firstLine="720"/>
        <w:jc w:val="both"/>
        <w:rPr>
          <w:sz w:val="24"/>
          <w:lang w:eastAsia="ja-JP"/>
        </w:rPr>
      </w:pPr>
      <w:r w:rsidRPr="00795EFE">
        <w:rPr>
          <w:b/>
          <w:sz w:val="24"/>
          <w:u w:val="single"/>
          <w:lang w:eastAsia="ja-JP"/>
        </w:rPr>
        <w:t>No Improper Impeachment</w:t>
      </w:r>
      <w:r>
        <w:rPr>
          <w:sz w:val="24"/>
          <w:lang w:eastAsia="ja-JP"/>
        </w:rPr>
        <w:t xml:space="preserve">.  When impeaching a witness with a prior recorded statement, regardless of form, counsel must first show the statement to opposing counsel, lay a proper foundation for the prior recorded statement and provide the Court and the witness with a copy of the prior recorded statement prior to proceeding with impeachment. </w:t>
      </w:r>
      <w:r w:rsidRPr="00D764A5">
        <w:rPr>
          <w:i/>
          <w:sz w:val="24"/>
          <w:lang w:eastAsia="ja-JP"/>
        </w:rPr>
        <w:t>Cf.</w:t>
      </w:r>
      <w:r>
        <w:rPr>
          <w:sz w:val="24"/>
          <w:lang w:eastAsia="ja-JP"/>
        </w:rPr>
        <w:t xml:space="preserve"> C. </w:t>
      </w:r>
      <w:proofErr w:type="spellStart"/>
      <w:r>
        <w:rPr>
          <w:sz w:val="24"/>
          <w:lang w:eastAsia="ja-JP"/>
        </w:rPr>
        <w:t>Ehhardt</w:t>
      </w:r>
      <w:proofErr w:type="spellEnd"/>
      <w:r>
        <w:rPr>
          <w:sz w:val="24"/>
          <w:lang w:eastAsia="ja-JP"/>
        </w:rPr>
        <w:t xml:space="preserve">, </w:t>
      </w:r>
      <w:r w:rsidRPr="000255C3">
        <w:rPr>
          <w:i/>
          <w:sz w:val="24"/>
          <w:lang w:eastAsia="ja-JP"/>
        </w:rPr>
        <w:t>Florida Evidence</w:t>
      </w:r>
      <w:r>
        <w:rPr>
          <w:sz w:val="24"/>
          <w:lang w:eastAsia="ja-JP"/>
        </w:rPr>
        <w:t xml:space="preserve"> § 614.1 (2013 Edition).</w:t>
      </w:r>
    </w:p>
    <w:p w:rsidR="00C37463" w:rsidRDefault="00C37463" w:rsidP="00C37463">
      <w:pPr>
        <w:pStyle w:val="ListParagraph"/>
        <w:rPr>
          <w:sz w:val="24"/>
          <w:lang w:eastAsia="ja-JP"/>
        </w:rPr>
      </w:pPr>
    </w:p>
    <w:p w:rsidR="00F72BD8" w:rsidRPr="00F72BD8" w:rsidRDefault="00F72BD8" w:rsidP="00F72BD8">
      <w:pPr>
        <w:numPr>
          <w:ilvl w:val="0"/>
          <w:numId w:val="1"/>
        </w:numPr>
        <w:ind w:left="0" w:firstLine="720"/>
        <w:jc w:val="both"/>
        <w:rPr>
          <w:sz w:val="24"/>
          <w:lang w:eastAsia="ja-JP"/>
        </w:rPr>
      </w:pPr>
      <w:r w:rsidRPr="00F72BD8">
        <w:rPr>
          <w:b/>
          <w:sz w:val="24"/>
          <w:u w:val="single"/>
          <w:lang w:eastAsia="ja-JP"/>
        </w:rPr>
        <w:t>Summaries</w:t>
      </w:r>
      <w:r w:rsidRPr="00F72BD8">
        <w:rPr>
          <w:sz w:val="24"/>
          <w:lang w:eastAsia="ja-JP"/>
        </w:rPr>
        <w:t xml:space="preserve">.  If a party intends to use a summary at trial, the party shall file and serve written notice on the opposing party </w:t>
      </w:r>
      <w:r w:rsidRPr="0006066D">
        <w:rPr>
          <w:b/>
          <w:sz w:val="24"/>
          <w:lang w:eastAsia="ja-JP"/>
        </w:rPr>
        <w:t>no later than</w:t>
      </w:r>
      <w:r w:rsidRPr="00F72BD8">
        <w:rPr>
          <w:sz w:val="24"/>
          <w:lang w:eastAsia="ja-JP"/>
        </w:rPr>
        <w:t xml:space="preserve"> </w:t>
      </w:r>
      <w:r w:rsidR="001275F1">
        <w:rPr>
          <w:b/>
          <w:sz w:val="24"/>
          <w:lang w:eastAsia="ja-JP"/>
        </w:rPr>
        <w:t xml:space="preserve">two </w:t>
      </w:r>
      <w:r w:rsidR="0006066D">
        <w:rPr>
          <w:b/>
          <w:sz w:val="24"/>
          <w:lang w:eastAsia="ja-JP"/>
        </w:rPr>
        <w:t xml:space="preserve">full </w:t>
      </w:r>
      <w:r w:rsidR="006E47B1" w:rsidRPr="006E47B1">
        <w:rPr>
          <w:b/>
          <w:sz w:val="24"/>
          <w:lang w:eastAsia="ja-JP"/>
        </w:rPr>
        <w:t xml:space="preserve">business </w:t>
      </w:r>
      <w:r w:rsidRPr="006E47B1">
        <w:rPr>
          <w:b/>
          <w:sz w:val="24"/>
          <w:lang w:eastAsia="ja-JP"/>
        </w:rPr>
        <w:t>days</w:t>
      </w:r>
      <w:r w:rsidRPr="00F72BD8">
        <w:rPr>
          <w:sz w:val="24"/>
          <w:lang w:eastAsia="ja-JP"/>
        </w:rPr>
        <w:t xml:space="preserve"> before the commencement of the trial of such intent and otherwise comply with section 90.956, </w:t>
      </w:r>
      <w:r w:rsidRPr="0026789C">
        <w:rPr>
          <w:i/>
          <w:sz w:val="24"/>
          <w:lang w:eastAsia="ja-JP"/>
        </w:rPr>
        <w:t>Florida Statutes</w:t>
      </w:r>
      <w:r w:rsidRPr="00F72BD8">
        <w:rPr>
          <w:sz w:val="24"/>
          <w:lang w:eastAsia="ja-JP"/>
        </w:rPr>
        <w:t>.  Otherwise, the summary will be excluded at trial.</w:t>
      </w:r>
    </w:p>
    <w:p w:rsidR="00F72BD8" w:rsidRDefault="00F72BD8" w:rsidP="00F72BD8">
      <w:pPr>
        <w:pStyle w:val="ListParagraph"/>
        <w:rPr>
          <w:sz w:val="24"/>
          <w:lang w:eastAsia="ja-JP"/>
        </w:rPr>
      </w:pPr>
    </w:p>
    <w:p w:rsidR="00F72BD8" w:rsidRPr="00F72BD8" w:rsidRDefault="00F72BD8" w:rsidP="00F72BD8">
      <w:pPr>
        <w:numPr>
          <w:ilvl w:val="0"/>
          <w:numId w:val="1"/>
        </w:numPr>
        <w:ind w:left="0" w:firstLine="720"/>
        <w:jc w:val="both"/>
        <w:rPr>
          <w:sz w:val="24"/>
          <w:lang w:eastAsia="ja-JP"/>
        </w:rPr>
      </w:pPr>
      <w:r w:rsidRPr="00F72BD8">
        <w:rPr>
          <w:b/>
          <w:sz w:val="24"/>
          <w:u w:val="single"/>
          <w:lang w:eastAsia="ja-JP"/>
        </w:rPr>
        <w:t>Judicial Notice</w:t>
      </w:r>
      <w:r w:rsidRPr="00F72BD8">
        <w:rPr>
          <w:sz w:val="24"/>
          <w:lang w:eastAsia="ja-JP"/>
        </w:rPr>
        <w:t xml:space="preserve">.  The Court will take judicial notice of all pleadings and orders filed in this case, including financial affidavits. </w:t>
      </w:r>
      <w:r w:rsidR="00CA5612" w:rsidRPr="00CA5612">
        <w:rPr>
          <w:i/>
          <w:sz w:val="24"/>
          <w:lang w:eastAsia="ja-JP"/>
        </w:rPr>
        <w:t>See</w:t>
      </w:r>
      <w:r w:rsidRPr="00CA5612">
        <w:rPr>
          <w:i/>
          <w:sz w:val="24"/>
          <w:lang w:eastAsia="ja-JP"/>
        </w:rPr>
        <w:t xml:space="preserve"> </w:t>
      </w:r>
      <w:r w:rsidR="009A02E7">
        <w:rPr>
          <w:sz w:val="24"/>
          <w:lang w:eastAsia="ja-JP"/>
        </w:rPr>
        <w:t xml:space="preserve">§ </w:t>
      </w:r>
      <w:r w:rsidR="00CA5612">
        <w:rPr>
          <w:sz w:val="24"/>
          <w:lang w:eastAsia="ja-JP"/>
        </w:rPr>
        <w:t>90.204</w:t>
      </w:r>
      <w:r w:rsidR="003B263D">
        <w:rPr>
          <w:sz w:val="24"/>
          <w:lang w:eastAsia="ja-JP"/>
        </w:rPr>
        <w:t xml:space="preserve">, </w:t>
      </w:r>
      <w:r w:rsidR="003B263D" w:rsidRPr="003B263D">
        <w:rPr>
          <w:i/>
          <w:sz w:val="24"/>
          <w:lang w:eastAsia="ja-JP"/>
        </w:rPr>
        <w:t>Florida Statutes</w:t>
      </w:r>
      <w:r w:rsidR="00CA5612">
        <w:rPr>
          <w:sz w:val="24"/>
          <w:lang w:eastAsia="ja-JP"/>
        </w:rPr>
        <w:t xml:space="preserve">.  </w:t>
      </w:r>
      <w:r w:rsidRPr="00F72BD8">
        <w:rPr>
          <w:sz w:val="24"/>
          <w:lang w:eastAsia="ja-JP"/>
        </w:rPr>
        <w:t xml:space="preserve">Other requests for judicial notice must be filed </w:t>
      </w:r>
      <w:r w:rsidRPr="0006066D">
        <w:rPr>
          <w:b/>
          <w:sz w:val="24"/>
          <w:lang w:eastAsia="ja-JP"/>
        </w:rPr>
        <w:t>no later than</w:t>
      </w:r>
      <w:r w:rsidRPr="00F72BD8">
        <w:rPr>
          <w:sz w:val="24"/>
          <w:lang w:eastAsia="ja-JP"/>
        </w:rPr>
        <w:t xml:space="preserve"> </w:t>
      </w:r>
      <w:r w:rsidR="001275F1">
        <w:rPr>
          <w:b/>
          <w:sz w:val="24"/>
          <w:lang w:eastAsia="ja-JP"/>
        </w:rPr>
        <w:t xml:space="preserve">two </w:t>
      </w:r>
      <w:r w:rsidR="0006066D">
        <w:rPr>
          <w:b/>
          <w:sz w:val="24"/>
          <w:lang w:eastAsia="ja-JP"/>
        </w:rPr>
        <w:t xml:space="preserve">full </w:t>
      </w:r>
      <w:r w:rsidRPr="006E47B1">
        <w:rPr>
          <w:b/>
          <w:sz w:val="24"/>
          <w:lang w:eastAsia="ja-JP"/>
        </w:rPr>
        <w:t>business days</w:t>
      </w:r>
      <w:r w:rsidRPr="00F72BD8">
        <w:rPr>
          <w:sz w:val="24"/>
          <w:lang w:eastAsia="ja-JP"/>
        </w:rPr>
        <w:t xml:space="preserve"> before the commencement of the trial.</w:t>
      </w:r>
    </w:p>
    <w:p w:rsidR="00F72BD8" w:rsidRDefault="00F72BD8" w:rsidP="00FF0AD3">
      <w:pPr>
        <w:pStyle w:val="ListParagraph"/>
        <w:rPr>
          <w:sz w:val="24"/>
          <w:lang w:eastAsia="ja-JP"/>
        </w:rPr>
      </w:pPr>
    </w:p>
    <w:p w:rsidR="00FF0AD3" w:rsidRPr="00FF0AD3" w:rsidRDefault="00FF0AD3" w:rsidP="00FF0AD3">
      <w:pPr>
        <w:numPr>
          <w:ilvl w:val="0"/>
          <w:numId w:val="1"/>
        </w:numPr>
        <w:ind w:left="0" w:firstLine="720"/>
        <w:jc w:val="both"/>
        <w:rPr>
          <w:sz w:val="24"/>
          <w:lang w:eastAsia="ja-JP"/>
        </w:rPr>
      </w:pPr>
      <w:r w:rsidRPr="00FF0AD3">
        <w:rPr>
          <w:b/>
          <w:sz w:val="24"/>
          <w:u w:val="single"/>
          <w:lang w:eastAsia="ja-JP"/>
        </w:rPr>
        <w:t>Cumulative Evidence/Mode and Order of Interrogation and Presentation</w:t>
      </w:r>
      <w:r w:rsidRPr="00FF0AD3">
        <w:rPr>
          <w:sz w:val="24"/>
          <w:lang w:eastAsia="ja-JP"/>
        </w:rPr>
        <w:t xml:space="preserve">.  Cumulative evidence is not permitted.  </w:t>
      </w:r>
      <w:r w:rsidR="00C37463">
        <w:rPr>
          <w:sz w:val="24"/>
          <w:lang w:eastAsia="ja-JP"/>
        </w:rPr>
        <w:t>In addition, any issues or problems with the scheduling of witnesses must be raised and addressed at the pretrial conference.  The Court will make every effort to adhere to counsel’s preferred order of presentation of witnesses and other evidence.  However, once the trial commences, the Court expects the presentation of evidence to proceed smoothly and efficiently.  Lastly, t</w:t>
      </w:r>
      <w:r w:rsidR="00C37463" w:rsidRPr="00FF0AD3">
        <w:rPr>
          <w:sz w:val="24"/>
          <w:lang w:eastAsia="ja-JP"/>
        </w:rPr>
        <w:t xml:space="preserve">he Court shall enforce section 90.612, </w:t>
      </w:r>
      <w:r w:rsidR="00C37463" w:rsidRPr="00FF0AD3">
        <w:rPr>
          <w:i/>
          <w:sz w:val="24"/>
          <w:lang w:eastAsia="ja-JP"/>
        </w:rPr>
        <w:t>Florida Statutes</w:t>
      </w:r>
      <w:r w:rsidR="00C37463" w:rsidRPr="00FF0AD3">
        <w:rPr>
          <w:sz w:val="24"/>
          <w:lang w:eastAsia="ja-JP"/>
        </w:rPr>
        <w:t>, strictly</w:t>
      </w:r>
      <w:r w:rsidR="00C37463">
        <w:rPr>
          <w:sz w:val="24"/>
          <w:lang w:eastAsia="ja-JP"/>
        </w:rPr>
        <w:t>, and reserves the right to require counsel to call witnesses out of order if necessary to avoid late starts, long mid-day recesses, and early afternoon recesses.</w:t>
      </w:r>
    </w:p>
    <w:p w:rsidR="00E243D4" w:rsidRDefault="00E243D4" w:rsidP="00E243D4">
      <w:pPr>
        <w:ind w:left="720"/>
        <w:jc w:val="both"/>
        <w:rPr>
          <w:sz w:val="24"/>
          <w:lang w:eastAsia="ja-JP"/>
        </w:rPr>
      </w:pPr>
    </w:p>
    <w:p w:rsidR="00CC6EC6" w:rsidRDefault="00F94053" w:rsidP="00870A8B">
      <w:pPr>
        <w:numPr>
          <w:ilvl w:val="0"/>
          <w:numId w:val="1"/>
        </w:numPr>
        <w:ind w:left="0" w:firstLine="720"/>
        <w:jc w:val="both"/>
        <w:rPr>
          <w:sz w:val="24"/>
          <w:lang w:eastAsia="ja-JP"/>
        </w:rPr>
      </w:pPr>
      <w:r w:rsidRPr="009571B7">
        <w:rPr>
          <w:b/>
          <w:sz w:val="24"/>
          <w:u w:val="single"/>
          <w:lang w:eastAsia="ja-JP"/>
        </w:rPr>
        <w:t>Professionalism &amp; Courtroom Decorum</w:t>
      </w:r>
      <w:r>
        <w:rPr>
          <w:sz w:val="24"/>
          <w:lang w:eastAsia="ja-JP"/>
        </w:rPr>
        <w:t>.</w:t>
      </w:r>
      <w:r w:rsidR="008778FE">
        <w:rPr>
          <w:sz w:val="24"/>
          <w:lang w:eastAsia="ja-JP"/>
        </w:rPr>
        <w:t xml:space="preserve">  </w:t>
      </w:r>
      <w:r w:rsidR="00E5760D" w:rsidRPr="002F0E0A">
        <w:rPr>
          <w:sz w:val="24"/>
          <w:lang w:eastAsia="ja-JP"/>
        </w:rPr>
        <w:t>The conduct of this trial shall be pursuant to and consistent with the Florida Bar, Trial Lawyers Section, Guidelines for Professional Conduct, specifically Section M thereof, “Trial Conduct and Courtroom Decorum,” other than as modified herein.</w:t>
      </w:r>
      <w:r w:rsidR="00CC6EC6" w:rsidRPr="002F0E0A">
        <w:rPr>
          <w:sz w:val="24"/>
          <w:lang w:eastAsia="ja-JP"/>
        </w:rPr>
        <w:t xml:space="preserve">  Each attorney shall admonish their client(s) and office staff not to exhibit inappropriate behavior in the presence of the </w:t>
      </w:r>
      <w:r w:rsidR="001275F1">
        <w:rPr>
          <w:sz w:val="24"/>
          <w:lang w:eastAsia="ja-JP"/>
        </w:rPr>
        <w:t>Court</w:t>
      </w:r>
      <w:r w:rsidR="00CC6EC6" w:rsidRPr="002F0E0A">
        <w:rPr>
          <w:sz w:val="24"/>
          <w:lang w:eastAsia="ja-JP"/>
        </w:rPr>
        <w:t xml:space="preserve">. </w:t>
      </w:r>
      <w:r w:rsidR="00942684">
        <w:rPr>
          <w:sz w:val="24"/>
          <w:lang w:eastAsia="ja-JP"/>
        </w:rPr>
        <w:t xml:space="preserve"> </w:t>
      </w:r>
      <w:r w:rsidR="00CC6EC6" w:rsidRPr="002F0E0A">
        <w:rPr>
          <w:sz w:val="24"/>
          <w:lang w:eastAsia="ja-JP"/>
        </w:rPr>
        <w:t>Inappropriate conduct shall include but not be limited to facial gestures and audible comments.</w:t>
      </w:r>
    </w:p>
    <w:p w:rsidR="00237911" w:rsidRPr="002F0E0A" w:rsidRDefault="00237911" w:rsidP="00237911">
      <w:pPr>
        <w:ind w:left="720"/>
        <w:jc w:val="both"/>
        <w:rPr>
          <w:sz w:val="24"/>
          <w:lang w:eastAsia="ja-JP"/>
        </w:rPr>
      </w:pPr>
    </w:p>
    <w:p w:rsidR="00CC6EC6" w:rsidRDefault="00142F41" w:rsidP="00870A8B">
      <w:pPr>
        <w:numPr>
          <w:ilvl w:val="0"/>
          <w:numId w:val="1"/>
        </w:numPr>
        <w:ind w:left="0" w:firstLine="720"/>
        <w:jc w:val="both"/>
        <w:rPr>
          <w:sz w:val="24"/>
          <w:lang w:eastAsia="ja-JP"/>
        </w:rPr>
      </w:pPr>
      <w:r w:rsidRPr="009571B7">
        <w:rPr>
          <w:b/>
          <w:sz w:val="24"/>
          <w:u w:val="single"/>
          <w:lang w:eastAsia="ja-JP"/>
        </w:rPr>
        <w:t>Use of Surnames O</w:t>
      </w:r>
      <w:r w:rsidR="00CC6EC6" w:rsidRPr="009571B7">
        <w:rPr>
          <w:b/>
          <w:sz w:val="24"/>
          <w:u w:val="single"/>
          <w:lang w:eastAsia="ja-JP"/>
        </w:rPr>
        <w:t>nly</w:t>
      </w:r>
      <w:r w:rsidR="00CC6EC6" w:rsidRPr="002F0E0A">
        <w:rPr>
          <w:sz w:val="24"/>
          <w:lang w:eastAsia="ja-JP"/>
        </w:rPr>
        <w:t xml:space="preserve">.  All </w:t>
      </w:r>
      <w:r w:rsidR="005B3F82">
        <w:rPr>
          <w:sz w:val="24"/>
          <w:lang w:eastAsia="ja-JP"/>
        </w:rPr>
        <w:t>c</w:t>
      </w:r>
      <w:r w:rsidR="00CC6EC6" w:rsidRPr="002F0E0A">
        <w:rPr>
          <w:sz w:val="24"/>
          <w:lang w:eastAsia="ja-JP"/>
        </w:rPr>
        <w:t xml:space="preserve">ounsel </w:t>
      </w:r>
      <w:proofErr w:type="gramStart"/>
      <w:r w:rsidR="00CC6EC6" w:rsidRPr="002F0E0A">
        <w:rPr>
          <w:sz w:val="24"/>
          <w:lang w:eastAsia="ja-JP"/>
        </w:rPr>
        <w:t>are</w:t>
      </w:r>
      <w:proofErr w:type="gramEnd"/>
      <w:r w:rsidR="00CC6EC6" w:rsidRPr="002F0E0A">
        <w:rPr>
          <w:sz w:val="24"/>
          <w:lang w:eastAsia="ja-JP"/>
        </w:rPr>
        <w:t xml:space="preserve"> directed to refer to their clients, each other, and all witnesses only by surnames and </w:t>
      </w:r>
      <w:r w:rsidR="00CC6EC6" w:rsidRPr="005B3F82">
        <w:rPr>
          <w:sz w:val="24"/>
          <w:u w:val="single"/>
          <w:lang w:eastAsia="ja-JP"/>
        </w:rPr>
        <w:t>not</w:t>
      </w:r>
      <w:r w:rsidR="00CC6EC6" w:rsidRPr="002F0E0A">
        <w:rPr>
          <w:sz w:val="24"/>
          <w:lang w:eastAsia="ja-JP"/>
        </w:rPr>
        <w:t xml:space="preserve"> be their first or given names.</w:t>
      </w:r>
    </w:p>
    <w:p w:rsidR="00237911" w:rsidRDefault="00237911" w:rsidP="00237911">
      <w:pPr>
        <w:ind w:left="720"/>
        <w:jc w:val="both"/>
        <w:rPr>
          <w:sz w:val="24"/>
          <w:lang w:eastAsia="ja-JP"/>
        </w:rPr>
      </w:pPr>
    </w:p>
    <w:p w:rsidR="00E5760D" w:rsidRDefault="00CC6EC6" w:rsidP="00C4092C">
      <w:pPr>
        <w:numPr>
          <w:ilvl w:val="0"/>
          <w:numId w:val="1"/>
        </w:numPr>
        <w:ind w:left="0" w:firstLine="720"/>
        <w:jc w:val="both"/>
        <w:rPr>
          <w:sz w:val="24"/>
          <w:lang w:eastAsia="ja-JP"/>
        </w:rPr>
      </w:pPr>
      <w:r w:rsidRPr="009571B7">
        <w:rPr>
          <w:b/>
          <w:sz w:val="24"/>
          <w:u w:val="single"/>
          <w:lang w:eastAsia="ja-JP"/>
        </w:rPr>
        <w:lastRenderedPageBreak/>
        <w:t>Electronic Devices</w:t>
      </w:r>
      <w:r w:rsidRPr="002F0E0A">
        <w:rPr>
          <w:sz w:val="24"/>
          <w:lang w:eastAsia="ja-JP"/>
        </w:rPr>
        <w:t xml:space="preserve">.  </w:t>
      </w:r>
      <w:r w:rsidR="00E5760D" w:rsidRPr="002F0E0A">
        <w:rPr>
          <w:sz w:val="24"/>
          <w:lang w:eastAsia="ja-JP"/>
        </w:rPr>
        <w:t>Counsel shall advise clients, witnesses, and staff that all electronic devices shall be turned off prior to entering courtroom</w:t>
      </w:r>
      <w:r w:rsidR="005B3F82">
        <w:rPr>
          <w:sz w:val="24"/>
          <w:lang w:eastAsia="ja-JP"/>
        </w:rPr>
        <w:t xml:space="preserve"> and shall remain off in the courtroom during the trial</w:t>
      </w:r>
      <w:r w:rsidR="00E5760D" w:rsidRPr="002F0E0A">
        <w:rPr>
          <w:sz w:val="24"/>
          <w:lang w:eastAsia="ja-JP"/>
        </w:rPr>
        <w:t>.  During trial, electronic devices which are audible in the courtroom shall be confiscated and retained by the bailiff until the conclusion of the trial.</w:t>
      </w:r>
    </w:p>
    <w:p w:rsidR="00CC331C" w:rsidRDefault="00CC331C" w:rsidP="00CC331C">
      <w:pPr>
        <w:pStyle w:val="ListParagraph"/>
        <w:rPr>
          <w:sz w:val="24"/>
          <w:lang w:eastAsia="ja-JP"/>
        </w:rPr>
      </w:pPr>
    </w:p>
    <w:p w:rsidR="0028207A" w:rsidRDefault="00CC331C" w:rsidP="00CC331C">
      <w:pPr>
        <w:numPr>
          <w:ilvl w:val="0"/>
          <w:numId w:val="1"/>
        </w:numPr>
        <w:ind w:left="0" w:firstLine="720"/>
        <w:jc w:val="both"/>
        <w:rPr>
          <w:sz w:val="24"/>
          <w:lang w:eastAsia="ja-JP"/>
        </w:rPr>
      </w:pPr>
      <w:r>
        <w:rPr>
          <w:b/>
          <w:sz w:val="24"/>
          <w:u w:val="single"/>
          <w:lang w:eastAsia="ja-JP"/>
        </w:rPr>
        <w:t>Failure to C</w:t>
      </w:r>
      <w:r w:rsidRPr="00CC331C">
        <w:rPr>
          <w:b/>
          <w:sz w:val="24"/>
          <w:u w:val="single"/>
          <w:lang w:eastAsia="ja-JP"/>
        </w:rPr>
        <w:t>omply</w:t>
      </w:r>
      <w:r>
        <w:rPr>
          <w:sz w:val="24"/>
          <w:lang w:eastAsia="ja-JP"/>
        </w:rPr>
        <w:t xml:space="preserve">.  </w:t>
      </w:r>
      <w:r w:rsidRPr="00CC331C">
        <w:rPr>
          <w:sz w:val="24"/>
          <w:lang w:eastAsia="ja-JP"/>
        </w:rPr>
        <w:t>Failure to comply</w:t>
      </w:r>
      <w:r>
        <w:rPr>
          <w:sz w:val="24"/>
          <w:lang w:eastAsia="ja-JP"/>
        </w:rPr>
        <w:t xml:space="preserve"> with the requirements of this o</w:t>
      </w:r>
      <w:r w:rsidRPr="00CC331C">
        <w:rPr>
          <w:sz w:val="24"/>
          <w:lang w:eastAsia="ja-JP"/>
        </w:rPr>
        <w:t>rder will subject the party and/or counsel to appropriate sanctions.  Sanctions include the striking of pleadings; exclusion of evidence; refusal of the Court to award attorney’s fees and costs; and any other sanctions deemed appropriate by the Court.  All parties must comply as ordered in the preceding paragraphs.</w:t>
      </w:r>
    </w:p>
    <w:p w:rsidR="00334438" w:rsidRDefault="00334438" w:rsidP="00334438">
      <w:pPr>
        <w:pStyle w:val="ListParagraph"/>
        <w:rPr>
          <w:sz w:val="24"/>
          <w:lang w:eastAsia="ja-JP"/>
        </w:rPr>
      </w:pPr>
    </w:p>
    <w:p w:rsidR="00334438" w:rsidRDefault="00334438" w:rsidP="00CC331C">
      <w:pPr>
        <w:numPr>
          <w:ilvl w:val="0"/>
          <w:numId w:val="1"/>
        </w:numPr>
        <w:ind w:left="0" w:firstLine="720"/>
        <w:jc w:val="both"/>
        <w:rPr>
          <w:sz w:val="24"/>
          <w:lang w:eastAsia="ja-JP"/>
        </w:rPr>
      </w:pPr>
      <w:r w:rsidRPr="00334438">
        <w:rPr>
          <w:b/>
          <w:sz w:val="24"/>
          <w:u w:val="single"/>
          <w:lang w:eastAsia="ja-JP"/>
        </w:rPr>
        <w:t>Other</w:t>
      </w:r>
      <w:r>
        <w:rPr>
          <w:sz w:val="24"/>
          <w:lang w:eastAsia="ja-JP"/>
        </w:rPr>
        <w:t xml:space="preserve">.  </w:t>
      </w:r>
      <w:r w:rsidR="00942684">
        <w:rPr>
          <w:sz w:val="24"/>
          <w:lang w:eastAsia="ja-JP"/>
        </w:rPr>
        <w:t>None.</w:t>
      </w:r>
      <w:r w:rsidR="00BB3896">
        <w:rPr>
          <w:sz w:val="24"/>
          <w:lang w:eastAsia="ja-JP"/>
        </w:rPr>
        <w:t xml:space="preserve"> </w:t>
      </w:r>
      <w:proofErr w:type="gramStart"/>
      <w:r w:rsidR="00BB3896">
        <w:rPr>
          <w:sz w:val="24"/>
          <w:lang w:eastAsia="ja-JP"/>
        </w:rPr>
        <w:t>OR</w:t>
      </w:r>
      <w:r w:rsidR="00942684">
        <w:rPr>
          <w:sz w:val="24"/>
          <w:lang w:eastAsia="ja-JP"/>
        </w:rPr>
        <w:t xml:space="preserve">  </w:t>
      </w:r>
      <w:r w:rsidR="000F1941">
        <w:rPr>
          <w:sz w:val="24"/>
          <w:lang w:eastAsia="ja-JP"/>
        </w:rPr>
        <w:t>[</w:t>
      </w:r>
      <w:proofErr w:type="gramEnd"/>
      <w:r w:rsidR="000F1941">
        <w:rPr>
          <w:sz w:val="24"/>
          <w:lang w:eastAsia="ja-JP"/>
        </w:rPr>
        <w:t xml:space="preserve">  ] </w:t>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sidR="00960EC6">
        <w:rPr>
          <w:sz w:val="24"/>
          <w:u w:val="single"/>
          <w:lang w:eastAsia="ja-JP"/>
        </w:rPr>
        <w:tab/>
      </w:r>
    </w:p>
    <w:p w:rsidR="00CC331C" w:rsidRPr="00CC331C" w:rsidRDefault="00CC331C" w:rsidP="00CC331C">
      <w:pPr>
        <w:ind w:left="720"/>
        <w:jc w:val="both"/>
        <w:rPr>
          <w:sz w:val="24"/>
          <w:lang w:eastAsia="ja-JP"/>
        </w:rPr>
      </w:pPr>
    </w:p>
    <w:p w:rsidR="005F59B6" w:rsidRPr="00CC6EC6" w:rsidRDefault="00E5760D" w:rsidP="00231419">
      <w:pPr>
        <w:ind w:firstLine="720"/>
        <w:jc w:val="both"/>
        <w:rPr>
          <w:sz w:val="24"/>
          <w:lang w:eastAsia="ja-JP"/>
        </w:rPr>
      </w:pPr>
      <w:r>
        <w:rPr>
          <w:sz w:val="24"/>
          <w:lang w:eastAsia="ja-JP"/>
        </w:rPr>
        <w:t>DONE AND ORDERED</w:t>
      </w:r>
      <w:r w:rsidR="00CC6EC6">
        <w:rPr>
          <w:sz w:val="24"/>
          <w:lang w:eastAsia="ja-JP"/>
        </w:rPr>
        <w:t xml:space="preserve">:  </w:t>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lang w:eastAsia="ja-JP"/>
        </w:rPr>
        <w:t>.</w:t>
      </w:r>
    </w:p>
    <w:p w:rsidR="00E5760D" w:rsidRDefault="00E5760D" w:rsidP="00231419">
      <w:pPr>
        <w:jc w:val="both"/>
        <w:rPr>
          <w:sz w:val="24"/>
          <w:lang w:eastAsia="ja-JP"/>
        </w:rPr>
      </w:pPr>
    </w:p>
    <w:p w:rsidR="00E5760D" w:rsidRDefault="00E5760D" w:rsidP="00231419">
      <w:pPr>
        <w:jc w:val="both"/>
        <w:rPr>
          <w:sz w:val="24"/>
          <w:lang w:eastAsia="ja-JP"/>
        </w:rPr>
      </w:pPr>
    </w:p>
    <w:p w:rsidR="00EE6584" w:rsidRDefault="00EE6584" w:rsidP="00231419">
      <w:pPr>
        <w:jc w:val="both"/>
        <w:rPr>
          <w:sz w:val="24"/>
          <w:lang w:eastAsia="ja-JP"/>
        </w:rPr>
      </w:pPr>
    </w:p>
    <w:p w:rsidR="00E5760D" w:rsidRPr="00CC6EC6" w:rsidRDefault="00E5760D" w:rsidP="00231419">
      <w:pPr>
        <w:jc w:val="both"/>
        <w:rPr>
          <w:sz w:val="24"/>
          <w:lang w:eastAsia="ja-JP"/>
        </w:rPr>
      </w:pPr>
      <w:r>
        <w:rPr>
          <w:sz w:val="24"/>
          <w:lang w:eastAsia="ja-JP"/>
        </w:rPr>
        <w:tab/>
      </w:r>
      <w:r>
        <w:rPr>
          <w:sz w:val="24"/>
          <w:lang w:eastAsia="ja-JP"/>
        </w:rPr>
        <w:tab/>
      </w:r>
      <w:r>
        <w:rPr>
          <w:sz w:val="24"/>
          <w:lang w:eastAsia="ja-JP"/>
        </w:rPr>
        <w:tab/>
      </w:r>
      <w:r>
        <w:rPr>
          <w:sz w:val="24"/>
          <w:lang w:eastAsia="ja-JP"/>
        </w:rPr>
        <w:tab/>
      </w:r>
      <w:r>
        <w:rPr>
          <w:sz w:val="24"/>
          <w:lang w:eastAsia="ja-JP"/>
        </w:rPr>
        <w:tab/>
      </w:r>
      <w:r w:rsidR="00CC6EC6">
        <w:rPr>
          <w:sz w:val="24"/>
          <w:lang w:eastAsia="ja-JP"/>
        </w:rPr>
        <w:tab/>
      </w:r>
      <w:r w:rsidR="00CC6EC6">
        <w:rPr>
          <w:sz w:val="24"/>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p>
    <w:p w:rsidR="00E5760D" w:rsidRDefault="00C94B39" w:rsidP="00231419">
      <w:pPr>
        <w:jc w:val="both"/>
        <w:rPr>
          <w:sz w:val="24"/>
          <w:lang w:eastAsia="ja-JP"/>
        </w:rPr>
      </w:pP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t>ELIZABETH G. RICE</w:t>
      </w:r>
    </w:p>
    <w:p w:rsidR="00C94B39" w:rsidRDefault="00C94B39" w:rsidP="00231419">
      <w:pPr>
        <w:jc w:val="both"/>
        <w:rPr>
          <w:sz w:val="24"/>
          <w:lang w:eastAsia="ja-JP"/>
        </w:rPr>
      </w:pP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t>Circuit Court Judge</w:t>
      </w:r>
    </w:p>
    <w:p w:rsidR="00E5760D" w:rsidRDefault="00E5760D" w:rsidP="00231419">
      <w:pPr>
        <w:jc w:val="both"/>
        <w:rPr>
          <w:sz w:val="24"/>
          <w:lang w:eastAsia="ja-JP"/>
        </w:rPr>
      </w:pPr>
    </w:p>
    <w:p w:rsidR="00E5760D" w:rsidRPr="00C81C72" w:rsidRDefault="00C94B39" w:rsidP="00A86028">
      <w:pPr>
        <w:spacing w:line="360" w:lineRule="auto"/>
        <w:jc w:val="both"/>
        <w:rPr>
          <w:i/>
          <w:sz w:val="24"/>
          <w:lang w:eastAsia="ja-JP"/>
        </w:rPr>
      </w:pPr>
      <w:r w:rsidRPr="00C81C72">
        <w:rPr>
          <w:i/>
          <w:sz w:val="24"/>
          <w:lang w:eastAsia="ja-JP"/>
        </w:rPr>
        <w:t>Conformed c</w:t>
      </w:r>
      <w:r w:rsidR="00E5760D" w:rsidRPr="00C81C72">
        <w:rPr>
          <w:i/>
          <w:sz w:val="24"/>
          <w:lang w:eastAsia="ja-JP"/>
        </w:rPr>
        <w:t>opies</w:t>
      </w:r>
      <w:r w:rsidRPr="00C81C72">
        <w:rPr>
          <w:i/>
          <w:sz w:val="24"/>
          <w:lang w:eastAsia="ja-JP"/>
        </w:rPr>
        <w:t xml:space="preserve"> furnished</w:t>
      </w:r>
      <w:r w:rsidR="00942684">
        <w:rPr>
          <w:i/>
          <w:sz w:val="24"/>
          <w:lang w:eastAsia="ja-JP"/>
        </w:rPr>
        <w:t xml:space="preserve"> </w:t>
      </w:r>
      <w:r w:rsidR="00E5760D" w:rsidRPr="00C81C72">
        <w:rPr>
          <w:i/>
          <w:sz w:val="24"/>
          <w:lang w:eastAsia="ja-JP"/>
        </w:rPr>
        <w:t>to:</w:t>
      </w:r>
    </w:p>
    <w:p w:rsidR="00160359" w:rsidRDefault="007877C8" w:rsidP="00570FC8">
      <w:pPr>
        <w:tabs>
          <w:tab w:val="left" w:pos="2520"/>
        </w:tabs>
        <w:jc w:val="both"/>
        <w:rPr>
          <w:sz w:val="24"/>
          <w:lang w:eastAsia="ja-JP"/>
        </w:rPr>
      </w:pPr>
      <w:r>
        <w:rPr>
          <w:sz w:val="24"/>
          <w:lang w:eastAsia="ja-JP"/>
        </w:rPr>
        <w:t>Counsel for Plaintiff</w:t>
      </w:r>
      <w:r w:rsidR="00570FC8">
        <w:rPr>
          <w:sz w:val="24"/>
          <w:lang w:eastAsia="ja-JP"/>
        </w:rPr>
        <w:t>:</w:t>
      </w:r>
      <w:r w:rsidR="00570FC8">
        <w:rPr>
          <w:sz w:val="24"/>
          <w:lang w:eastAsia="ja-JP"/>
        </w:rPr>
        <w:tab/>
      </w:r>
    </w:p>
    <w:p w:rsidR="005849B7" w:rsidRPr="00160359" w:rsidRDefault="007877C8" w:rsidP="00570FC8">
      <w:pPr>
        <w:tabs>
          <w:tab w:val="left" w:pos="2520"/>
        </w:tabs>
        <w:jc w:val="both"/>
        <w:rPr>
          <w:sz w:val="24"/>
          <w:lang w:eastAsia="ja-JP"/>
        </w:rPr>
      </w:pPr>
      <w:r>
        <w:rPr>
          <w:sz w:val="24"/>
          <w:lang w:eastAsia="ja-JP"/>
        </w:rPr>
        <w:t>Counsel for Defendant</w:t>
      </w:r>
      <w:r w:rsidR="00570FC8">
        <w:rPr>
          <w:sz w:val="24"/>
          <w:lang w:eastAsia="ja-JP"/>
        </w:rPr>
        <w:t>:</w:t>
      </w:r>
      <w:r w:rsidR="00570FC8">
        <w:rPr>
          <w:sz w:val="24"/>
          <w:lang w:eastAsia="ja-JP"/>
        </w:rPr>
        <w:tab/>
      </w:r>
      <w:bookmarkStart w:id="0" w:name="_GoBack"/>
      <w:bookmarkEnd w:id="0"/>
    </w:p>
    <w:sectPr w:rsidR="005849B7" w:rsidRPr="00160359" w:rsidSect="00457A7A">
      <w:headerReference w:type="default" r:id="rId7"/>
      <w:footerReference w:type="default" r:id="rId8"/>
      <w:headerReference w:type="first" r:id="rId9"/>
      <w:footerReference w:type="first" r:id="rId1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B56" w:rsidRDefault="009E1B56">
      <w:r>
        <w:separator/>
      </w:r>
    </w:p>
  </w:endnote>
  <w:endnote w:type="continuationSeparator" w:id="0">
    <w:p w:rsidR="009E1B56" w:rsidRDefault="009E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11" w:rsidRPr="00E526A1" w:rsidRDefault="00457A7A" w:rsidP="00E526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212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2124">
      <w:rPr>
        <w:b/>
        <w:bCs/>
        <w:noProof/>
      </w:rPr>
      <w:t>5</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6F" w:rsidRPr="0005416F" w:rsidRDefault="0005416F">
    <w:pPr>
      <w:pStyle w:val="Footer"/>
      <w:rPr>
        <w:sz w:val="16"/>
        <w:szCs w:val="16"/>
      </w:rPr>
    </w:pPr>
    <w:r w:rsidRPr="0005416F">
      <w:rPr>
        <w:sz w:val="16"/>
        <w:szCs w:val="16"/>
      </w:rPr>
      <w:t>Revised 0</w:t>
    </w:r>
    <w:r w:rsidR="002E2DA5">
      <w:rPr>
        <w:sz w:val="16"/>
        <w:szCs w:val="16"/>
      </w:rPr>
      <w:t>2</w:t>
    </w:r>
    <w:r w:rsidRPr="0005416F">
      <w:rPr>
        <w:sz w:val="16"/>
        <w:szCs w:val="16"/>
      </w:rPr>
      <w:t>/</w:t>
    </w:r>
    <w:r w:rsidR="002E2DA5">
      <w:rPr>
        <w:sz w:val="16"/>
        <w:szCs w:val="16"/>
      </w:rPr>
      <w:t>1</w:t>
    </w:r>
    <w:r w:rsidR="00812124">
      <w:rPr>
        <w:sz w:val="16"/>
        <w:szCs w:val="16"/>
      </w:rPr>
      <w:t>5</w:t>
    </w:r>
    <w:r w:rsidRPr="0005416F">
      <w:rPr>
        <w:sz w:val="16"/>
        <w:szCs w:val="16"/>
      </w:rPr>
      <w:t>/1</w:t>
    </w:r>
    <w:r w:rsidR="002E2DA5">
      <w:rPr>
        <w:sz w:val="16"/>
        <w:szCs w:val="16"/>
      </w:rPr>
      <w:t>7</w:t>
    </w:r>
  </w:p>
  <w:p w:rsidR="0005416F" w:rsidRDefault="00054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B56" w:rsidRDefault="009E1B56">
      <w:r>
        <w:separator/>
      </w:r>
    </w:p>
  </w:footnote>
  <w:footnote w:type="continuationSeparator" w:id="0">
    <w:p w:rsidR="009E1B56" w:rsidRDefault="009E1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C4" w:rsidRDefault="001C72A6">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3C4" w:rsidRDefault="001C72A6">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409000F"/>
    <w:lvl w:ilvl="0" w:tplc="7C0A021A">
      <w:start w:val="1"/>
      <w:numFmt w:val="decimal"/>
      <w:lvlText w:val="%1."/>
      <w:lvlJc w:val="left"/>
      <w:pPr>
        <w:ind w:left="720" w:hanging="360"/>
      </w:pPr>
    </w:lvl>
    <w:lvl w:ilvl="1" w:tplc="070CB5A6">
      <w:start w:val="1"/>
      <w:numFmt w:val="lowerLetter"/>
      <w:lvlText w:val="%2."/>
      <w:lvlJc w:val="left"/>
      <w:pPr>
        <w:ind w:left="1440" w:hanging="360"/>
      </w:pPr>
    </w:lvl>
    <w:lvl w:ilvl="2" w:tplc="1E8EA014" w:tentative="1">
      <w:start w:val="1"/>
      <w:numFmt w:val="lowerRoman"/>
      <w:lvlText w:val="%3."/>
      <w:lvlJc w:val="right"/>
      <w:pPr>
        <w:ind w:left="2160" w:hanging="180"/>
      </w:pPr>
    </w:lvl>
    <w:lvl w:ilvl="3" w:tplc="D1DC70D4" w:tentative="1">
      <w:start w:val="1"/>
      <w:numFmt w:val="decimal"/>
      <w:lvlText w:val="%4."/>
      <w:lvlJc w:val="left"/>
      <w:pPr>
        <w:ind w:left="2880" w:hanging="360"/>
      </w:pPr>
    </w:lvl>
    <w:lvl w:ilvl="4" w:tplc="EA30E350">
      <w:start w:val="1"/>
      <w:numFmt w:val="lowerLetter"/>
      <w:lvlText w:val="%5."/>
      <w:lvlJc w:val="left"/>
      <w:pPr>
        <w:ind w:left="3600" w:hanging="360"/>
      </w:pPr>
    </w:lvl>
    <w:lvl w:ilvl="5" w:tplc="202C9D9C" w:tentative="1">
      <w:start w:val="1"/>
      <w:numFmt w:val="lowerRoman"/>
      <w:lvlText w:val="%6."/>
      <w:lvlJc w:val="right"/>
      <w:pPr>
        <w:ind w:left="4320" w:hanging="180"/>
      </w:pPr>
    </w:lvl>
    <w:lvl w:ilvl="6" w:tplc="D0781152" w:tentative="1">
      <w:start w:val="1"/>
      <w:numFmt w:val="decimal"/>
      <w:lvlText w:val="%7."/>
      <w:lvlJc w:val="left"/>
      <w:pPr>
        <w:ind w:left="5040" w:hanging="360"/>
      </w:pPr>
    </w:lvl>
    <w:lvl w:ilvl="7" w:tplc="B216AACC" w:tentative="1">
      <w:start w:val="1"/>
      <w:numFmt w:val="lowerLetter"/>
      <w:lvlText w:val="%8."/>
      <w:lvlJc w:val="left"/>
      <w:pPr>
        <w:ind w:left="5760" w:hanging="360"/>
      </w:pPr>
    </w:lvl>
    <w:lvl w:ilvl="8" w:tplc="DEA4F79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FE"/>
    <w:rsid w:val="00026B9E"/>
    <w:rsid w:val="00045D03"/>
    <w:rsid w:val="00046AC3"/>
    <w:rsid w:val="00051675"/>
    <w:rsid w:val="0005416F"/>
    <w:rsid w:val="0006066D"/>
    <w:rsid w:val="00062B0D"/>
    <w:rsid w:val="00080C0B"/>
    <w:rsid w:val="00094D89"/>
    <w:rsid w:val="000A0F1F"/>
    <w:rsid w:val="000A3902"/>
    <w:rsid w:val="000A6822"/>
    <w:rsid w:val="000C0BCE"/>
    <w:rsid w:val="000C1DF6"/>
    <w:rsid w:val="000D300E"/>
    <w:rsid w:val="000E6162"/>
    <w:rsid w:val="000E7BC7"/>
    <w:rsid w:val="000F1941"/>
    <w:rsid w:val="000F7027"/>
    <w:rsid w:val="00105456"/>
    <w:rsid w:val="001275F1"/>
    <w:rsid w:val="00142F41"/>
    <w:rsid w:val="0014689B"/>
    <w:rsid w:val="0015018D"/>
    <w:rsid w:val="001505C3"/>
    <w:rsid w:val="00152DFE"/>
    <w:rsid w:val="00153AC8"/>
    <w:rsid w:val="00160359"/>
    <w:rsid w:val="00160FAC"/>
    <w:rsid w:val="0017333A"/>
    <w:rsid w:val="001C72A6"/>
    <w:rsid w:val="001D6AAB"/>
    <w:rsid w:val="001D6DD8"/>
    <w:rsid w:val="001E5DC8"/>
    <w:rsid w:val="00205C18"/>
    <w:rsid w:val="002206B6"/>
    <w:rsid w:val="00231419"/>
    <w:rsid w:val="00237911"/>
    <w:rsid w:val="002535C6"/>
    <w:rsid w:val="00255DD8"/>
    <w:rsid w:val="0026789C"/>
    <w:rsid w:val="00280737"/>
    <w:rsid w:val="00280C3F"/>
    <w:rsid w:val="0028207A"/>
    <w:rsid w:val="00285C2F"/>
    <w:rsid w:val="0029287B"/>
    <w:rsid w:val="00292908"/>
    <w:rsid w:val="00293D48"/>
    <w:rsid w:val="002D1F2E"/>
    <w:rsid w:val="002D240C"/>
    <w:rsid w:val="002E2DA5"/>
    <w:rsid w:val="002E6596"/>
    <w:rsid w:val="002F0E0A"/>
    <w:rsid w:val="002F250D"/>
    <w:rsid w:val="00307BB2"/>
    <w:rsid w:val="00322429"/>
    <w:rsid w:val="00334438"/>
    <w:rsid w:val="00355E54"/>
    <w:rsid w:val="00374846"/>
    <w:rsid w:val="00390C03"/>
    <w:rsid w:val="00393659"/>
    <w:rsid w:val="003B263D"/>
    <w:rsid w:val="003B7FFE"/>
    <w:rsid w:val="003D16D6"/>
    <w:rsid w:val="003E3523"/>
    <w:rsid w:val="003E3F97"/>
    <w:rsid w:val="00403BAF"/>
    <w:rsid w:val="00405341"/>
    <w:rsid w:val="00417842"/>
    <w:rsid w:val="00426AAB"/>
    <w:rsid w:val="004550F0"/>
    <w:rsid w:val="00457A7A"/>
    <w:rsid w:val="004873B1"/>
    <w:rsid w:val="004A63C4"/>
    <w:rsid w:val="004C4792"/>
    <w:rsid w:val="004C588D"/>
    <w:rsid w:val="004E4CCC"/>
    <w:rsid w:val="00517BB0"/>
    <w:rsid w:val="005373BD"/>
    <w:rsid w:val="00546A7A"/>
    <w:rsid w:val="00570FC8"/>
    <w:rsid w:val="00582063"/>
    <w:rsid w:val="005849B7"/>
    <w:rsid w:val="005912A0"/>
    <w:rsid w:val="005B3F82"/>
    <w:rsid w:val="005C4224"/>
    <w:rsid w:val="005D3945"/>
    <w:rsid w:val="005E1DA9"/>
    <w:rsid w:val="005F59B6"/>
    <w:rsid w:val="0064572D"/>
    <w:rsid w:val="00647EA2"/>
    <w:rsid w:val="00683099"/>
    <w:rsid w:val="006A7471"/>
    <w:rsid w:val="006D744C"/>
    <w:rsid w:val="006E47B1"/>
    <w:rsid w:val="007400C1"/>
    <w:rsid w:val="00766FB0"/>
    <w:rsid w:val="007715D7"/>
    <w:rsid w:val="007855A6"/>
    <w:rsid w:val="00786C0B"/>
    <w:rsid w:val="007877C8"/>
    <w:rsid w:val="00791AE6"/>
    <w:rsid w:val="007B460C"/>
    <w:rsid w:val="007B5B93"/>
    <w:rsid w:val="007C415B"/>
    <w:rsid w:val="007D3A43"/>
    <w:rsid w:val="00812124"/>
    <w:rsid w:val="00815BDF"/>
    <w:rsid w:val="00866C0F"/>
    <w:rsid w:val="00870A8B"/>
    <w:rsid w:val="008778FE"/>
    <w:rsid w:val="00887FCB"/>
    <w:rsid w:val="008D5144"/>
    <w:rsid w:val="00904F45"/>
    <w:rsid w:val="009102F6"/>
    <w:rsid w:val="009106EC"/>
    <w:rsid w:val="0091687E"/>
    <w:rsid w:val="0092726A"/>
    <w:rsid w:val="00937AE9"/>
    <w:rsid w:val="00937D59"/>
    <w:rsid w:val="00942684"/>
    <w:rsid w:val="009571B7"/>
    <w:rsid w:val="00960EC6"/>
    <w:rsid w:val="009810D3"/>
    <w:rsid w:val="009A02E7"/>
    <w:rsid w:val="009D15DC"/>
    <w:rsid w:val="009D3B60"/>
    <w:rsid w:val="009E1B56"/>
    <w:rsid w:val="009E6403"/>
    <w:rsid w:val="009E67A4"/>
    <w:rsid w:val="009E7984"/>
    <w:rsid w:val="009F3A65"/>
    <w:rsid w:val="009F6FC4"/>
    <w:rsid w:val="00A0165B"/>
    <w:rsid w:val="00A06A49"/>
    <w:rsid w:val="00A1590B"/>
    <w:rsid w:val="00A24A6E"/>
    <w:rsid w:val="00A45A1A"/>
    <w:rsid w:val="00A51912"/>
    <w:rsid w:val="00A83E3D"/>
    <w:rsid w:val="00A83EE9"/>
    <w:rsid w:val="00A86028"/>
    <w:rsid w:val="00AD3EA2"/>
    <w:rsid w:val="00AE27B7"/>
    <w:rsid w:val="00B009C4"/>
    <w:rsid w:val="00B12774"/>
    <w:rsid w:val="00B3489C"/>
    <w:rsid w:val="00B5220C"/>
    <w:rsid w:val="00B62B17"/>
    <w:rsid w:val="00B76B7B"/>
    <w:rsid w:val="00BA05CC"/>
    <w:rsid w:val="00BB3896"/>
    <w:rsid w:val="00BD4951"/>
    <w:rsid w:val="00C27511"/>
    <w:rsid w:val="00C34CD3"/>
    <w:rsid w:val="00C37463"/>
    <w:rsid w:val="00C4092C"/>
    <w:rsid w:val="00C40F4C"/>
    <w:rsid w:val="00C81695"/>
    <w:rsid w:val="00C81C72"/>
    <w:rsid w:val="00C83C90"/>
    <w:rsid w:val="00C94B39"/>
    <w:rsid w:val="00CA27FC"/>
    <w:rsid w:val="00CA5612"/>
    <w:rsid w:val="00CC331C"/>
    <w:rsid w:val="00CC62D4"/>
    <w:rsid w:val="00CC6EC6"/>
    <w:rsid w:val="00CD2606"/>
    <w:rsid w:val="00CF2689"/>
    <w:rsid w:val="00D2601C"/>
    <w:rsid w:val="00D40524"/>
    <w:rsid w:val="00D47559"/>
    <w:rsid w:val="00D65606"/>
    <w:rsid w:val="00D6640C"/>
    <w:rsid w:val="00D84F68"/>
    <w:rsid w:val="00DA5534"/>
    <w:rsid w:val="00DB72A7"/>
    <w:rsid w:val="00DB7EC9"/>
    <w:rsid w:val="00DD1F80"/>
    <w:rsid w:val="00DE2216"/>
    <w:rsid w:val="00DE7F59"/>
    <w:rsid w:val="00DF3D77"/>
    <w:rsid w:val="00DF4BB6"/>
    <w:rsid w:val="00E017DC"/>
    <w:rsid w:val="00E243D4"/>
    <w:rsid w:val="00E37A90"/>
    <w:rsid w:val="00E4174B"/>
    <w:rsid w:val="00E526A1"/>
    <w:rsid w:val="00E56ABD"/>
    <w:rsid w:val="00E5760D"/>
    <w:rsid w:val="00E6245B"/>
    <w:rsid w:val="00E636A5"/>
    <w:rsid w:val="00E66A3C"/>
    <w:rsid w:val="00E841CF"/>
    <w:rsid w:val="00E90F57"/>
    <w:rsid w:val="00EC3F71"/>
    <w:rsid w:val="00EE150C"/>
    <w:rsid w:val="00EE48C3"/>
    <w:rsid w:val="00EE5F55"/>
    <w:rsid w:val="00EE6584"/>
    <w:rsid w:val="00F22D8F"/>
    <w:rsid w:val="00F26846"/>
    <w:rsid w:val="00F425C2"/>
    <w:rsid w:val="00F6121C"/>
    <w:rsid w:val="00F65430"/>
    <w:rsid w:val="00F72BD8"/>
    <w:rsid w:val="00F73527"/>
    <w:rsid w:val="00F7496F"/>
    <w:rsid w:val="00F85976"/>
    <w:rsid w:val="00F87173"/>
    <w:rsid w:val="00F94053"/>
    <w:rsid w:val="00FB75B5"/>
    <w:rsid w:val="00FC3995"/>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F8228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style>
  <w:style w:type="paragraph" w:styleId="NormalWeb">
    <w:name w:val="Normal (Web)"/>
    <w:basedOn w:val="Normal"/>
    <w:pPr>
      <w:tabs>
        <w:tab w:val="left" w:pos="-1440"/>
        <w:tab w:val="left" w:pos="-720"/>
      </w:tabs>
      <w:jc w:val="both"/>
    </w:pPr>
  </w:style>
  <w:style w:type="paragraph" w:customStyle="1" w:styleId="HTMLAcronym1">
    <w:name w:val="HTML Acronym1"/>
    <w:basedOn w:val="Normal"/>
    <w:pPr>
      <w:ind w:left="720"/>
    </w:pPr>
  </w:style>
  <w:style w:type="paragraph" w:styleId="BalloonText">
    <w:name w:val="Balloon Text"/>
    <w:basedOn w:val="Normal"/>
    <w:link w:val="BalloonTextChar"/>
    <w:rsid w:val="00EE48C3"/>
    <w:rPr>
      <w:rFonts w:ascii="Tahoma" w:hAnsi="Tahoma" w:cs="Tahoma"/>
      <w:sz w:val="16"/>
      <w:szCs w:val="16"/>
    </w:rPr>
  </w:style>
  <w:style w:type="character" w:customStyle="1" w:styleId="BalloonTextChar">
    <w:name w:val="Balloon Text Char"/>
    <w:link w:val="BalloonText"/>
    <w:rsid w:val="00EE48C3"/>
    <w:rPr>
      <w:rFonts w:ascii="Tahoma" w:hAnsi="Tahoma" w:cs="Tahoma"/>
      <w:sz w:val="16"/>
      <w:szCs w:val="16"/>
    </w:rPr>
  </w:style>
  <w:style w:type="table" w:styleId="TableGrid">
    <w:name w:val="Table Grid"/>
    <w:basedOn w:val="TableNormal"/>
    <w:uiPriority w:val="59"/>
    <w:rsid w:val="009E79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A90"/>
    <w:pPr>
      <w:ind w:left="720"/>
    </w:pPr>
  </w:style>
  <w:style w:type="character" w:styleId="Hyperlink">
    <w:name w:val="Hyperlink"/>
    <w:rsid w:val="00457A7A"/>
    <w:rPr>
      <w:color w:val="0000FF"/>
      <w:u w:val="single"/>
    </w:rPr>
  </w:style>
  <w:style w:type="paragraph" w:styleId="Header">
    <w:name w:val="header"/>
    <w:basedOn w:val="Normal"/>
    <w:link w:val="HeaderChar"/>
    <w:rsid w:val="00457A7A"/>
    <w:pPr>
      <w:tabs>
        <w:tab w:val="center" w:pos="4680"/>
        <w:tab w:val="right" w:pos="9360"/>
      </w:tabs>
    </w:pPr>
  </w:style>
  <w:style w:type="character" w:customStyle="1" w:styleId="HeaderChar">
    <w:name w:val="Header Char"/>
    <w:basedOn w:val="DefaultParagraphFont"/>
    <w:link w:val="Header"/>
    <w:rsid w:val="00457A7A"/>
  </w:style>
  <w:style w:type="paragraph" w:styleId="Footer">
    <w:name w:val="footer"/>
    <w:basedOn w:val="Normal"/>
    <w:link w:val="FooterChar"/>
    <w:uiPriority w:val="99"/>
    <w:rsid w:val="00457A7A"/>
    <w:pPr>
      <w:tabs>
        <w:tab w:val="center" w:pos="4680"/>
        <w:tab w:val="right" w:pos="9360"/>
      </w:tabs>
    </w:pPr>
  </w:style>
  <w:style w:type="character" w:customStyle="1" w:styleId="FooterChar">
    <w:name w:val="Footer Char"/>
    <w:basedOn w:val="DefaultParagraphFont"/>
    <w:link w:val="Footer"/>
    <w:uiPriority w:val="99"/>
    <w:rsid w:val="0045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2017-02-15T18:05:00Z</dcterms:created>
  <dcterms:modified xsi:type="dcterms:W3CDTF">2017-02-15T20:21:00Z</dcterms:modified>
</cp:coreProperties>
</file>