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DC" w:rsidRPr="00FF53DC" w:rsidRDefault="00FF53DC" w:rsidP="00E33BD4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53DC">
        <w:rPr>
          <w:rFonts w:ascii="Times New Roman" w:hAnsi="Times New Roman" w:cs="Times New Roman"/>
          <w:caps/>
          <w:sz w:val="24"/>
          <w:szCs w:val="24"/>
        </w:rPr>
        <w:t>In the Circuit Court of the Thirteenth Judicial Circuit</w:t>
      </w:r>
    </w:p>
    <w:p w:rsidR="00FF53DC" w:rsidRPr="00FF53DC" w:rsidRDefault="00FF53DC" w:rsidP="00E33BD4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F53DC">
        <w:rPr>
          <w:rFonts w:ascii="Times New Roman" w:hAnsi="Times New Roman" w:cs="Times New Roman"/>
          <w:caps/>
          <w:sz w:val="24"/>
          <w:szCs w:val="24"/>
        </w:rPr>
        <w:t>Hillsborough County, Florida</w:t>
      </w:r>
    </w:p>
    <w:p w:rsidR="00FF53DC" w:rsidRPr="00FF53DC" w:rsidRDefault="00FF53DC" w:rsidP="00E33BD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caps/>
          <w:sz w:val="24"/>
          <w:szCs w:val="24"/>
        </w:rPr>
        <w:t>Circuit Civil Division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Default="00007802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[p]</w:t>
      </w:r>
      <w:r w:rsidR="00BC3970">
        <w:rPr>
          <w:rFonts w:ascii="Times New Roman" w:hAnsi="Times New Roman" w:cs="Times New Roman"/>
          <w:sz w:val="24"/>
          <w:szCs w:val="24"/>
        </w:rPr>
        <w:t>,</w:t>
      </w:r>
    </w:p>
    <w:p w:rsidR="00E33BD4" w:rsidRPr="00FF53DC" w:rsidRDefault="00E33BD4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>Plaintiff,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v.</w:t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="00BC3970">
        <w:rPr>
          <w:rFonts w:ascii="Times New Roman" w:hAnsi="Times New Roman" w:cs="Times New Roman"/>
          <w:sz w:val="24"/>
          <w:szCs w:val="24"/>
        </w:rPr>
        <w:t xml:space="preserve">Case No. </w:t>
      </w:r>
      <w:r w:rsidR="0097516A">
        <w:rPr>
          <w:rFonts w:ascii="Times New Roman" w:hAnsi="Times New Roman" w:cs="Times New Roman"/>
          <w:sz w:val="24"/>
          <w:szCs w:val="24"/>
        </w:rPr>
        <w:t>13</w:t>
      </w:r>
      <w:r w:rsidRPr="00FF53DC">
        <w:rPr>
          <w:rFonts w:ascii="Times New Roman" w:hAnsi="Times New Roman" w:cs="Times New Roman"/>
          <w:sz w:val="24"/>
          <w:szCs w:val="24"/>
        </w:rPr>
        <w:t>-CA-</w:t>
      </w:r>
      <w:r w:rsidR="0097516A">
        <w:rPr>
          <w:rFonts w:ascii="Times New Roman" w:hAnsi="Times New Roman" w:cs="Times New Roman"/>
          <w:sz w:val="24"/>
          <w:szCs w:val="24"/>
        </w:rPr>
        <w:t>012795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  <w:t>Division C</w:t>
      </w:r>
    </w:p>
    <w:p w:rsidR="00FF53DC" w:rsidRPr="00FF53DC" w:rsidRDefault="00007802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[d]</w:t>
      </w:r>
      <w:r w:rsidR="00FF53DC" w:rsidRPr="00FF53DC">
        <w:rPr>
          <w:rFonts w:ascii="Times New Roman" w:hAnsi="Times New Roman" w:cs="Times New Roman"/>
          <w:sz w:val="24"/>
          <w:szCs w:val="24"/>
        </w:rPr>
        <w:t>,</w:t>
      </w:r>
    </w:p>
    <w:p w:rsidR="00E33BD4" w:rsidRDefault="00E33BD4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>Defendant.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795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>/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3970" w:rsidRDefault="00302D0B" w:rsidP="00E33BD4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302D0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Order Continuing </w:t>
      </w:r>
      <w:r w:rsidR="003E75C5">
        <w:rPr>
          <w:rFonts w:ascii="Times New Roman" w:hAnsi="Times New Roman" w:cs="Times New Roman"/>
          <w:b/>
          <w:caps/>
          <w:sz w:val="24"/>
          <w:szCs w:val="24"/>
          <w:u w:val="single"/>
        </w:rPr>
        <w:t>NON-</w:t>
      </w:r>
      <w:r w:rsidRPr="00302D0B">
        <w:rPr>
          <w:rFonts w:ascii="Times New Roman" w:hAnsi="Times New Roman" w:cs="Times New Roman"/>
          <w:b/>
          <w:caps/>
          <w:sz w:val="24"/>
          <w:szCs w:val="24"/>
          <w:u w:val="single"/>
        </w:rPr>
        <w:t>Jury Trial</w:t>
      </w:r>
      <w:r w:rsidR="00F96EC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and</w:t>
      </w:r>
    </w:p>
    <w:p w:rsidR="00BC3970" w:rsidRDefault="00BC3970" w:rsidP="00E33BD4">
      <w:pPr>
        <w:spacing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setting new </w:t>
      </w:r>
      <w:r w:rsidR="003E75C5">
        <w:rPr>
          <w:rFonts w:ascii="Times New Roman" w:hAnsi="Times New Roman" w:cs="Times New Roman"/>
          <w:b/>
          <w:caps/>
          <w:sz w:val="24"/>
          <w:szCs w:val="24"/>
          <w:u w:val="single"/>
        </w:rPr>
        <w:t>NON-</w:t>
      </w:r>
      <w:r w:rsidR="00F96EC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jury </w:t>
      </w:r>
      <w:r w:rsidR="0091670F">
        <w:rPr>
          <w:rFonts w:ascii="Times New Roman" w:hAnsi="Times New Roman" w:cs="Times New Roman"/>
          <w:b/>
          <w:caps/>
          <w:sz w:val="24"/>
          <w:szCs w:val="24"/>
          <w:u w:val="single"/>
        </w:rPr>
        <w:t>trial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34573" w:rsidRDefault="00FF53DC" w:rsidP="00E33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 xml:space="preserve">THIS CASE came before the Court </w:t>
      </w:r>
      <w:r w:rsidR="00BC3970">
        <w:rPr>
          <w:rFonts w:ascii="Times New Roman" w:hAnsi="Times New Roman" w:cs="Times New Roman"/>
          <w:sz w:val="24"/>
          <w:szCs w:val="24"/>
        </w:rPr>
        <w:t xml:space="preserve">on the </w:t>
      </w:r>
      <w:r w:rsidR="00BC3970" w:rsidRPr="00BC3970">
        <w:rPr>
          <w:rFonts w:ascii="Times New Roman" w:hAnsi="Times New Roman" w:cs="Times New Roman"/>
          <w:i/>
          <w:sz w:val="24"/>
          <w:szCs w:val="24"/>
        </w:rPr>
        <w:t xml:space="preserve">ore </w:t>
      </w:r>
      <w:proofErr w:type="spellStart"/>
      <w:r w:rsidR="00BC3970" w:rsidRPr="00BC3970">
        <w:rPr>
          <w:rFonts w:ascii="Times New Roman" w:hAnsi="Times New Roman" w:cs="Times New Roman"/>
          <w:i/>
          <w:sz w:val="24"/>
          <w:szCs w:val="24"/>
        </w:rPr>
        <w:t>tenus</w:t>
      </w:r>
      <w:proofErr w:type="spellEnd"/>
      <w:r w:rsidR="00BC3970">
        <w:rPr>
          <w:rFonts w:ascii="Times New Roman" w:hAnsi="Times New Roman" w:cs="Times New Roman"/>
          <w:sz w:val="24"/>
          <w:szCs w:val="24"/>
        </w:rPr>
        <w:t xml:space="preserve"> motion to continue trial </w:t>
      </w:r>
      <w:r w:rsidR="00F85E2B">
        <w:rPr>
          <w:rFonts w:ascii="Times New Roman" w:hAnsi="Times New Roman" w:cs="Times New Roman"/>
          <w:sz w:val="24"/>
          <w:szCs w:val="24"/>
        </w:rPr>
        <w:t>made</w:t>
      </w:r>
      <w:r w:rsidR="00BC3970">
        <w:rPr>
          <w:rFonts w:ascii="Times New Roman" w:hAnsi="Times New Roman" w:cs="Times New Roman"/>
          <w:sz w:val="24"/>
          <w:szCs w:val="24"/>
        </w:rPr>
        <w:t xml:space="preserve"> by the </w:t>
      </w:r>
      <w:r w:rsidR="0091670F">
        <w:rPr>
          <w:rFonts w:ascii="Times New Roman" w:hAnsi="Times New Roman" w:cs="Times New Roman"/>
          <w:sz w:val="24"/>
          <w:szCs w:val="24"/>
        </w:rPr>
        <w:t>parties</w:t>
      </w:r>
      <w:r w:rsidR="001D7385">
        <w:rPr>
          <w:rFonts w:ascii="Times New Roman" w:hAnsi="Times New Roman" w:cs="Times New Roman"/>
          <w:sz w:val="24"/>
          <w:szCs w:val="24"/>
        </w:rPr>
        <w:t>.</w:t>
      </w:r>
      <w:r w:rsidR="00BC3970">
        <w:rPr>
          <w:rFonts w:ascii="Times New Roman" w:hAnsi="Times New Roman" w:cs="Times New Roman"/>
          <w:sz w:val="24"/>
          <w:szCs w:val="24"/>
        </w:rPr>
        <w:t xml:space="preserve">  </w:t>
      </w:r>
      <w:r w:rsidR="00E34573">
        <w:rPr>
          <w:rFonts w:ascii="Times New Roman" w:hAnsi="Times New Roman" w:cs="Times New Roman"/>
          <w:sz w:val="24"/>
          <w:szCs w:val="24"/>
        </w:rPr>
        <w:t xml:space="preserve">The Court having granted the motion, enters this order setting a new jury trial and pretrial conference and establishing </w:t>
      </w:r>
      <w:r w:rsidR="00B5428E">
        <w:rPr>
          <w:rFonts w:ascii="Times New Roman" w:hAnsi="Times New Roman" w:cs="Times New Roman"/>
          <w:sz w:val="24"/>
          <w:szCs w:val="24"/>
        </w:rPr>
        <w:t xml:space="preserve">and fixing </w:t>
      </w:r>
      <w:r w:rsidR="00E34573">
        <w:rPr>
          <w:rFonts w:ascii="Times New Roman" w:hAnsi="Times New Roman" w:cs="Times New Roman"/>
          <w:sz w:val="24"/>
          <w:szCs w:val="24"/>
        </w:rPr>
        <w:t>certain dates and deadlines for various matters in advance of the rescheduled jury trial of this case.</w:t>
      </w:r>
    </w:p>
    <w:p w:rsidR="00E34573" w:rsidRDefault="00E34573" w:rsidP="00E33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 xml:space="preserve">On </w:t>
      </w:r>
      <w:r w:rsidR="00007802">
        <w:rPr>
          <w:rFonts w:ascii="Times New Roman" w:hAnsi="Times New Roman" w:cs="Times New Roman"/>
          <w:sz w:val="24"/>
          <w:szCs w:val="24"/>
        </w:rPr>
        <w:t>__</w:t>
      </w:r>
      <w:r w:rsidR="0097516A">
        <w:rPr>
          <w:rFonts w:ascii="Times New Roman" w:hAnsi="Times New Roman" w:cs="Times New Roman"/>
          <w:sz w:val="24"/>
          <w:szCs w:val="24"/>
        </w:rPr>
        <w:t>, 20</w:t>
      </w:r>
      <w:r w:rsidR="00007802">
        <w:rPr>
          <w:rFonts w:ascii="Times New Roman" w:hAnsi="Times New Roman" w:cs="Times New Roman"/>
          <w:sz w:val="24"/>
          <w:szCs w:val="24"/>
        </w:rPr>
        <w:t>__</w:t>
      </w:r>
      <w:r w:rsidR="0097516A">
        <w:rPr>
          <w:rFonts w:ascii="Times New Roman" w:hAnsi="Times New Roman" w:cs="Times New Roman"/>
          <w:sz w:val="24"/>
          <w:szCs w:val="24"/>
        </w:rPr>
        <w:t>,</w:t>
      </w: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="00D83975">
        <w:rPr>
          <w:rFonts w:ascii="Times New Roman" w:hAnsi="Times New Roman" w:cs="Times New Roman"/>
          <w:sz w:val="24"/>
          <w:szCs w:val="24"/>
        </w:rPr>
        <w:t>the Court rendered a</w:t>
      </w:r>
      <w:r w:rsidR="00494727">
        <w:rPr>
          <w:rFonts w:ascii="Times New Roman" w:hAnsi="Times New Roman" w:cs="Times New Roman"/>
          <w:sz w:val="24"/>
          <w:szCs w:val="24"/>
        </w:rPr>
        <w:t xml:space="preserve"> Uniform</w:t>
      </w:r>
      <w:r w:rsidRPr="00FF53DC">
        <w:rPr>
          <w:rFonts w:ascii="Times New Roman" w:hAnsi="Times New Roman" w:cs="Times New Roman"/>
          <w:sz w:val="24"/>
          <w:szCs w:val="24"/>
        </w:rPr>
        <w:t xml:space="preserve"> Order Setting Ca</w:t>
      </w:r>
      <w:r w:rsidR="00D83975">
        <w:rPr>
          <w:rFonts w:ascii="Times New Roman" w:hAnsi="Times New Roman" w:cs="Times New Roman"/>
          <w:sz w:val="24"/>
          <w:szCs w:val="24"/>
        </w:rPr>
        <w:t>use</w:t>
      </w:r>
      <w:r w:rsidRPr="00FF53DC">
        <w:rPr>
          <w:rFonts w:ascii="Times New Roman" w:hAnsi="Times New Roman" w:cs="Times New Roman"/>
          <w:sz w:val="24"/>
          <w:szCs w:val="24"/>
        </w:rPr>
        <w:t xml:space="preserve"> for Trial and Pretrial (</w:t>
      </w:r>
      <w:r w:rsidR="0097516A">
        <w:rPr>
          <w:rFonts w:ascii="Times New Roman" w:hAnsi="Times New Roman" w:cs="Times New Roman"/>
          <w:sz w:val="24"/>
          <w:szCs w:val="24"/>
        </w:rPr>
        <w:t>Non-</w:t>
      </w:r>
      <w:r w:rsidR="00494727">
        <w:rPr>
          <w:rFonts w:ascii="Times New Roman" w:hAnsi="Times New Roman" w:cs="Times New Roman"/>
          <w:sz w:val="24"/>
          <w:szCs w:val="24"/>
        </w:rPr>
        <w:t xml:space="preserve">Jury </w:t>
      </w:r>
      <w:proofErr w:type="gramStart"/>
      <w:r w:rsidR="00494727">
        <w:rPr>
          <w:rFonts w:ascii="Times New Roman" w:hAnsi="Times New Roman" w:cs="Times New Roman"/>
          <w:sz w:val="24"/>
          <w:szCs w:val="24"/>
        </w:rPr>
        <w:t>Trial</w:t>
      </w:r>
      <w:r w:rsidRPr="00FF53DC">
        <w:rPr>
          <w:rFonts w:ascii="Times New Roman" w:hAnsi="Times New Roman" w:cs="Times New Roman"/>
          <w:sz w:val="24"/>
          <w:szCs w:val="24"/>
        </w:rPr>
        <w:t>)</w:t>
      </w:r>
      <w:r w:rsidR="00D8397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83975">
        <w:rPr>
          <w:rFonts w:ascii="Times New Roman" w:hAnsi="Times New Roman" w:cs="Times New Roman"/>
          <w:sz w:val="24"/>
          <w:szCs w:val="24"/>
        </w:rPr>
        <w:t>“Order Setti</w:t>
      </w:r>
      <w:r w:rsidRPr="00FF53DC">
        <w:rPr>
          <w:rFonts w:ascii="Times New Roman" w:hAnsi="Times New Roman" w:cs="Times New Roman"/>
          <w:sz w:val="24"/>
          <w:szCs w:val="24"/>
        </w:rPr>
        <w:t xml:space="preserve">ng Trial”).  The Order Setting Trial </w:t>
      </w:r>
      <w:r w:rsidR="00D83975">
        <w:rPr>
          <w:rFonts w:ascii="Times New Roman" w:hAnsi="Times New Roman" w:cs="Times New Roman"/>
          <w:sz w:val="24"/>
          <w:szCs w:val="24"/>
        </w:rPr>
        <w:t xml:space="preserve">established, among other </w:t>
      </w:r>
      <w:r w:rsidR="00EA074D">
        <w:rPr>
          <w:rFonts w:ascii="Times New Roman" w:hAnsi="Times New Roman" w:cs="Times New Roman"/>
          <w:sz w:val="24"/>
          <w:szCs w:val="24"/>
        </w:rPr>
        <w:t>matters</w:t>
      </w:r>
      <w:r w:rsidR="00D83975">
        <w:rPr>
          <w:rFonts w:ascii="Times New Roman" w:hAnsi="Times New Roman" w:cs="Times New Roman"/>
          <w:sz w:val="24"/>
          <w:szCs w:val="24"/>
        </w:rPr>
        <w:t xml:space="preserve">, various deadlines for the completion of discovery, including expert discovery; the filing of certain dispositive and non-dispositive motions; </w:t>
      </w:r>
      <w:r w:rsidR="00EA074D">
        <w:rPr>
          <w:rFonts w:ascii="Times New Roman" w:hAnsi="Times New Roman" w:cs="Times New Roman"/>
          <w:sz w:val="24"/>
          <w:szCs w:val="24"/>
        </w:rPr>
        <w:t xml:space="preserve">and </w:t>
      </w:r>
      <w:r w:rsidR="00D83975">
        <w:rPr>
          <w:rFonts w:ascii="Times New Roman" w:hAnsi="Times New Roman" w:cs="Times New Roman"/>
          <w:sz w:val="24"/>
          <w:szCs w:val="24"/>
        </w:rPr>
        <w:t xml:space="preserve">the </w:t>
      </w:r>
      <w:r w:rsidR="00EA074D">
        <w:rPr>
          <w:rFonts w:ascii="Times New Roman" w:hAnsi="Times New Roman" w:cs="Times New Roman"/>
          <w:sz w:val="24"/>
          <w:szCs w:val="24"/>
        </w:rPr>
        <w:t xml:space="preserve">scheduling and </w:t>
      </w:r>
      <w:r w:rsidR="00D83975">
        <w:rPr>
          <w:rFonts w:ascii="Times New Roman" w:hAnsi="Times New Roman" w:cs="Times New Roman"/>
          <w:sz w:val="24"/>
          <w:szCs w:val="24"/>
        </w:rPr>
        <w:t xml:space="preserve">completion of hearings on </w:t>
      </w:r>
      <w:r w:rsidR="00EA074D">
        <w:rPr>
          <w:rFonts w:ascii="Times New Roman" w:hAnsi="Times New Roman" w:cs="Times New Roman"/>
          <w:sz w:val="24"/>
          <w:szCs w:val="24"/>
        </w:rPr>
        <w:t xml:space="preserve">the parties’ respective dispositive and non-dispositive motions.  </w:t>
      </w:r>
      <w:r w:rsidRPr="00FF53DC">
        <w:rPr>
          <w:rFonts w:ascii="Times New Roman" w:hAnsi="Times New Roman" w:cs="Times New Roman"/>
          <w:sz w:val="24"/>
          <w:szCs w:val="24"/>
        </w:rPr>
        <w:t>The Order Setting Trial further provides that “[a]</w:t>
      </w:r>
      <w:proofErr w:type="spellStart"/>
      <w:r w:rsidRPr="00FF53DC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FF53DC">
        <w:rPr>
          <w:rFonts w:ascii="Times New Roman" w:hAnsi="Times New Roman" w:cs="Times New Roman"/>
          <w:sz w:val="24"/>
          <w:szCs w:val="24"/>
        </w:rPr>
        <w:t xml:space="preserve"> motions</w:t>
      </w:r>
      <w:r w:rsidR="003E7290">
        <w:rPr>
          <w:rFonts w:ascii="Times New Roman" w:hAnsi="Times New Roman" w:cs="Times New Roman"/>
          <w:sz w:val="24"/>
          <w:szCs w:val="24"/>
        </w:rPr>
        <w:t xml:space="preserve"> other than motions in </w:t>
      </w:r>
      <w:proofErr w:type="spellStart"/>
      <w:r w:rsidR="003E7290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 w:rsidR="003E7290">
        <w:rPr>
          <w:rFonts w:ascii="Times New Roman" w:hAnsi="Times New Roman" w:cs="Times New Roman"/>
          <w:sz w:val="24"/>
          <w:szCs w:val="24"/>
        </w:rPr>
        <w:t xml:space="preserve"> not heard</w:t>
      </w: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Pr="003E64EF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 w:rsidRPr="00FF53DC">
        <w:rPr>
          <w:rFonts w:ascii="Times New Roman" w:hAnsi="Times New Roman" w:cs="Times New Roman"/>
          <w:sz w:val="24"/>
          <w:szCs w:val="24"/>
        </w:rPr>
        <w:t xml:space="preserve"> </w:t>
      </w:r>
      <w:r w:rsidR="003E64EF">
        <w:rPr>
          <w:rFonts w:ascii="Times New Roman" w:hAnsi="Times New Roman" w:cs="Times New Roman"/>
          <w:sz w:val="24"/>
          <w:szCs w:val="24"/>
        </w:rPr>
        <w:t xml:space="preserve">the pretrial conference </w:t>
      </w:r>
      <w:r w:rsidR="00EA074D">
        <w:rPr>
          <w:rFonts w:ascii="Times New Roman" w:hAnsi="Times New Roman" w:cs="Times New Roman"/>
          <w:sz w:val="24"/>
          <w:szCs w:val="24"/>
        </w:rPr>
        <w:t>shall be deemed abandoned.”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Based on the foregoing, it is ORDERED as follows:</w:t>
      </w:r>
    </w:p>
    <w:p w:rsidR="00FF53DC" w:rsidRPr="00FF53DC" w:rsidRDefault="00FF53DC" w:rsidP="00E33B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657" w:rsidRDefault="00FF53DC" w:rsidP="00E33BD4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1657">
        <w:rPr>
          <w:rFonts w:ascii="Times New Roman" w:hAnsi="Times New Roman" w:cs="Times New Roman"/>
          <w:sz w:val="24"/>
          <w:szCs w:val="24"/>
        </w:rPr>
        <w:t xml:space="preserve">The </w:t>
      </w:r>
      <w:r w:rsidR="0097516A">
        <w:rPr>
          <w:rFonts w:ascii="Times New Roman" w:hAnsi="Times New Roman" w:cs="Times New Roman"/>
          <w:sz w:val="24"/>
          <w:szCs w:val="24"/>
        </w:rPr>
        <w:t>non-</w:t>
      </w:r>
      <w:r w:rsidR="00D70A3E">
        <w:rPr>
          <w:rFonts w:ascii="Times New Roman" w:hAnsi="Times New Roman" w:cs="Times New Roman"/>
          <w:sz w:val="24"/>
          <w:szCs w:val="24"/>
        </w:rPr>
        <w:t xml:space="preserve">jury </w:t>
      </w:r>
      <w:r w:rsidRPr="00A41657">
        <w:rPr>
          <w:rFonts w:ascii="Times New Roman" w:hAnsi="Times New Roman" w:cs="Times New Roman"/>
          <w:sz w:val="24"/>
          <w:szCs w:val="24"/>
        </w:rPr>
        <w:t xml:space="preserve">trial of this case is continued and </w:t>
      </w:r>
      <w:r w:rsidR="00EA074D">
        <w:rPr>
          <w:rFonts w:ascii="Times New Roman" w:hAnsi="Times New Roman" w:cs="Times New Roman"/>
          <w:sz w:val="24"/>
          <w:szCs w:val="24"/>
        </w:rPr>
        <w:t xml:space="preserve">reset </w:t>
      </w:r>
      <w:r w:rsidR="00EF35F9">
        <w:rPr>
          <w:rFonts w:ascii="Times New Roman" w:hAnsi="Times New Roman" w:cs="Times New Roman"/>
          <w:sz w:val="24"/>
          <w:szCs w:val="24"/>
        </w:rPr>
        <w:t xml:space="preserve">for </w:t>
      </w:r>
      <w:r w:rsidR="0097516A">
        <w:rPr>
          <w:rFonts w:ascii="Times New Roman" w:hAnsi="Times New Roman" w:cs="Times New Roman"/>
          <w:sz w:val="24"/>
          <w:szCs w:val="24"/>
        </w:rPr>
        <w:t>non-</w:t>
      </w:r>
      <w:r w:rsidR="00EF35F9">
        <w:rPr>
          <w:rFonts w:ascii="Times New Roman" w:hAnsi="Times New Roman" w:cs="Times New Roman"/>
          <w:sz w:val="24"/>
          <w:szCs w:val="24"/>
        </w:rPr>
        <w:t xml:space="preserve">jury trial </w:t>
      </w:r>
      <w:r w:rsidR="0097516A">
        <w:rPr>
          <w:rFonts w:ascii="Times New Roman" w:hAnsi="Times New Roman" w:cs="Times New Roman"/>
          <w:sz w:val="24"/>
          <w:szCs w:val="24"/>
        </w:rPr>
        <w:t xml:space="preserve">on </w:t>
      </w:r>
      <w:r w:rsidR="00007802">
        <w:rPr>
          <w:rFonts w:ascii="Times New Roman" w:hAnsi="Times New Roman" w:cs="Times New Roman"/>
          <w:b/>
          <w:sz w:val="24"/>
          <w:szCs w:val="24"/>
        </w:rPr>
        <w:t>---</w:t>
      </w:r>
      <w:r w:rsidR="0097516A" w:rsidRPr="0097516A">
        <w:rPr>
          <w:rFonts w:ascii="Times New Roman" w:hAnsi="Times New Roman" w:cs="Times New Roman"/>
          <w:b/>
          <w:sz w:val="24"/>
          <w:szCs w:val="24"/>
        </w:rPr>
        <w:t>day,</w:t>
      </w:r>
      <w:r w:rsidR="0097516A">
        <w:rPr>
          <w:rFonts w:ascii="Times New Roman" w:hAnsi="Times New Roman" w:cs="Times New Roman"/>
          <w:sz w:val="24"/>
          <w:szCs w:val="24"/>
        </w:rPr>
        <w:t xml:space="preserve"> </w:t>
      </w:r>
      <w:r w:rsidR="00007802">
        <w:rPr>
          <w:rFonts w:ascii="Times New Roman" w:hAnsi="Times New Roman" w:cs="Times New Roman"/>
          <w:b/>
          <w:sz w:val="24"/>
          <w:szCs w:val="24"/>
        </w:rPr>
        <w:t>__</w:t>
      </w:r>
      <w:r w:rsidR="0097516A">
        <w:rPr>
          <w:rFonts w:ascii="Times New Roman" w:hAnsi="Times New Roman" w:cs="Times New Roman"/>
          <w:b/>
          <w:sz w:val="24"/>
          <w:szCs w:val="24"/>
        </w:rPr>
        <w:t>, 20</w:t>
      </w:r>
      <w:r w:rsidR="00007802">
        <w:rPr>
          <w:rFonts w:ascii="Times New Roman" w:hAnsi="Times New Roman" w:cs="Times New Roman"/>
          <w:b/>
          <w:sz w:val="24"/>
          <w:szCs w:val="24"/>
        </w:rPr>
        <w:t>__</w:t>
      </w:r>
      <w:r w:rsidR="0097516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35F9" w:rsidRPr="00070316">
        <w:rPr>
          <w:rFonts w:ascii="Times New Roman" w:hAnsi="Times New Roman" w:cs="Times New Roman"/>
          <w:b/>
          <w:sz w:val="24"/>
          <w:szCs w:val="24"/>
        </w:rPr>
        <w:t xml:space="preserve">commencing at </w:t>
      </w:r>
      <w:r w:rsidR="0097516A">
        <w:rPr>
          <w:rFonts w:ascii="Times New Roman" w:hAnsi="Times New Roman" w:cs="Times New Roman"/>
          <w:b/>
          <w:sz w:val="24"/>
          <w:szCs w:val="24"/>
        </w:rPr>
        <w:t>9:0</w:t>
      </w:r>
      <w:r w:rsidR="00EF35F9" w:rsidRPr="00070316">
        <w:rPr>
          <w:rFonts w:ascii="Times New Roman" w:hAnsi="Times New Roman" w:cs="Times New Roman"/>
          <w:b/>
          <w:sz w:val="24"/>
          <w:szCs w:val="24"/>
        </w:rPr>
        <w:t xml:space="preserve">0 a.m. </w:t>
      </w:r>
      <w:r w:rsidR="00EF35F9" w:rsidRPr="00070316">
        <w:rPr>
          <w:rFonts w:ascii="Times New Roman" w:hAnsi="Times New Roman" w:cs="Times New Roman"/>
          <w:sz w:val="24"/>
          <w:szCs w:val="24"/>
        </w:rPr>
        <w:t>in Courtroom 504</w:t>
      </w:r>
      <w:r w:rsidR="00EF35F9">
        <w:rPr>
          <w:rFonts w:ascii="Times New Roman" w:hAnsi="Times New Roman" w:cs="Times New Roman"/>
          <w:sz w:val="24"/>
          <w:szCs w:val="24"/>
        </w:rPr>
        <w:t>.</w:t>
      </w:r>
    </w:p>
    <w:p w:rsidR="00A41657" w:rsidRDefault="00A41657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657" w:rsidRDefault="004241A5" w:rsidP="00E33BD4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Notwithstanding the continuance</w:t>
      </w:r>
      <w:r w:rsidR="00FF53DC" w:rsidRPr="00A41657">
        <w:rPr>
          <w:rFonts w:ascii="Times New Roman" w:hAnsi="Times New Roman" w:cs="Times New Roman"/>
          <w:sz w:val="24"/>
          <w:szCs w:val="24"/>
        </w:rPr>
        <w:t>, unless specifically stated otherwise in this order, all dates and deadlines set forth in the Order Sett</w:t>
      </w:r>
      <w:r w:rsidR="00B5428E">
        <w:rPr>
          <w:rFonts w:ascii="Times New Roman" w:hAnsi="Times New Roman" w:cs="Times New Roman"/>
          <w:sz w:val="24"/>
          <w:szCs w:val="24"/>
        </w:rPr>
        <w:t xml:space="preserve">ing Trial shall remain fixed and the same, 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and nothing in </w:t>
      </w:r>
      <w:r w:rsidR="00FF53DC" w:rsidRPr="00A41657">
        <w:rPr>
          <w:rFonts w:ascii="Times New Roman" w:hAnsi="Times New Roman" w:cs="Times New Roman"/>
          <w:sz w:val="24"/>
          <w:szCs w:val="24"/>
          <w:u w:val="single"/>
        </w:rPr>
        <w:t>this</w:t>
      </w:r>
      <w:r w:rsidR="00FF53DC" w:rsidRPr="00A41657">
        <w:rPr>
          <w:rFonts w:ascii="Times New Roman" w:hAnsi="Times New Roman" w:cs="Times New Roman"/>
          <w:sz w:val="24"/>
          <w:szCs w:val="24"/>
        </w:rPr>
        <w:t xml:space="preserve"> order shall constitute a continuance </w:t>
      </w:r>
      <w:r w:rsidR="00070316">
        <w:rPr>
          <w:rFonts w:ascii="Times New Roman" w:hAnsi="Times New Roman" w:cs="Times New Roman"/>
          <w:sz w:val="24"/>
          <w:szCs w:val="24"/>
        </w:rPr>
        <w:t xml:space="preserve">or extension </w:t>
      </w:r>
      <w:r w:rsidR="00FF53DC" w:rsidRPr="00A41657">
        <w:rPr>
          <w:rFonts w:ascii="Times New Roman" w:hAnsi="Times New Roman" w:cs="Times New Roman"/>
          <w:sz w:val="24"/>
          <w:szCs w:val="24"/>
        </w:rPr>
        <w:t>of any such previously established date or deadline</w:t>
      </w:r>
      <w:r w:rsidR="00D70A3E">
        <w:rPr>
          <w:rFonts w:ascii="Times New Roman" w:hAnsi="Times New Roman" w:cs="Times New Roman"/>
          <w:sz w:val="24"/>
          <w:szCs w:val="24"/>
        </w:rPr>
        <w:t xml:space="preserve"> set forth in the prior order</w:t>
      </w:r>
      <w:r w:rsidR="00FF53DC" w:rsidRPr="00A41657">
        <w:rPr>
          <w:rFonts w:ascii="Times New Roman" w:hAnsi="Times New Roman" w:cs="Times New Roman"/>
          <w:sz w:val="24"/>
          <w:szCs w:val="24"/>
        </w:rPr>
        <w:t>.</w:t>
      </w:r>
    </w:p>
    <w:p w:rsidR="00A41657" w:rsidRPr="00A41657" w:rsidRDefault="00A41657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0D2" w:rsidRDefault="00C11819" w:rsidP="00E33BD4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0A3E">
        <w:rPr>
          <w:rFonts w:ascii="Times New Roman" w:hAnsi="Times New Roman" w:cs="Times New Roman"/>
          <w:b/>
          <w:sz w:val="24"/>
          <w:szCs w:val="24"/>
          <w:u w:val="single"/>
        </w:rPr>
        <w:t>MOTIONS</w:t>
      </w:r>
      <w:r w:rsidR="00FF53DC" w:rsidRPr="000630D2">
        <w:rPr>
          <w:rFonts w:ascii="Times New Roman" w:hAnsi="Times New Roman" w:cs="Times New Roman"/>
          <w:sz w:val="24"/>
          <w:szCs w:val="24"/>
        </w:rPr>
        <w:t xml:space="preserve">.  </w:t>
      </w:r>
      <w:r w:rsidRPr="000630D2">
        <w:rPr>
          <w:rFonts w:ascii="Times New Roman" w:hAnsi="Times New Roman" w:cs="Times New Roman"/>
          <w:sz w:val="24"/>
          <w:szCs w:val="24"/>
        </w:rPr>
        <w:t xml:space="preserve">Motions in </w:t>
      </w:r>
      <w:proofErr w:type="spellStart"/>
      <w:r w:rsidRPr="000630D2">
        <w:rPr>
          <w:rFonts w:ascii="Times New Roman" w:hAnsi="Times New Roman" w:cs="Times New Roman"/>
          <w:sz w:val="24"/>
          <w:szCs w:val="24"/>
        </w:rPr>
        <w:t>limine</w:t>
      </w:r>
      <w:proofErr w:type="spellEnd"/>
      <w:r w:rsidRPr="000630D2">
        <w:rPr>
          <w:rFonts w:ascii="Times New Roman" w:hAnsi="Times New Roman" w:cs="Times New Roman"/>
          <w:sz w:val="24"/>
          <w:szCs w:val="24"/>
        </w:rPr>
        <w:t xml:space="preserve"> must be filed not less than 30 days before the </w:t>
      </w:r>
      <w:r w:rsidR="000C074B">
        <w:rPr>
          <w:rFonts w:ascii="Times New Roman" w:hAnsi="Times New Roman" w:cs="Times New Roman"/>
          <w:sz w:val="24"/>
          <w:szCs w:val="24"/>
        </w:rPr>
        <w:t xml:space="preserve">trial 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and must be scheduled for hearing </w:t>
      </w:r>
      <w:r w:rsidR="00C87241" w:rsidRPr="00D70A3E">
        <w:rPr>
          <w:rFonts w:ascii="Times New Roman" w:hAnsi="Times New Roman" w:cs="Times New Roman"/>
          <w:sz w:val="24"/>
          <w:szCs w:val="24"/>
          <w:u w:val="single"/>
        </w:rPr>
        <w:t>and heard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007802">
        <w:rPr>
          <w:rFonts w:ascii="Times New Roman" w:hAnsi="Times New Roman" w:cs="Times New Roman"/>
          <w:sz w:val="24"/>
          <w:szCs w:val="24"/>
        </w:rPr>
        <w:t>__</w:t>
      </w:r>
      <w:r w:rsidR="000C074B">
        <w:rPr>
          <w:rFonts w:ascii="Times New Roman" w:hAnsi="Times New Roman" w:cs="Times New Roman"/>
          <w:sz w:val="24"/>
          <w:szCs w:val="24"/>
        </w:rPr>
        <w:t>, 20</w:t>
      </w:r>
      <w:r w:rsidR="00007802">
        <w:rPr>
          <w:rFonts w:ascii="Times New Roman" w:hAnsi="Times New Roman" w:cs="Times New Roman"/>
          <w:sz w:val="24"/>
          <w:szCs w:val="24"/>
        </w:rPr>
        <w:t>__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.  Otherwise, such motions will be deemed abandoned.  Objections raised in depositions expected to be introduced at trial must be filed with the </w:t>
      </w:r>
      <w:r w:rsidR="00DA2043">
        <w:rPr>
          <w:rFonts w:ascii="Times New Roman" w:hAnsi="Times New Roman" w:cs="Times New Roman"/>
          <w:sz w:val="24"/>
          <w:szCs w:val="24"/>
        </w:rPr>
        <w:t>Court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 30 days prior to the </w:t>
      </w:r>
      <w:r w:rsidR="000C074B">
        <w:rPr>
          <w:rFonts w:ascii="Times New Roman" w:hAnsi="Times New Roman" w:cs="Times New Roman"/>
          <w:sz w:val="24"/>
          <w:szCs w:val="24"/>
        </w:rPr>
        <w:t xml:space="preserve">trial 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and must be scheduled for hearing and heard </w:t>
      </w:r>
      <w:r w:rsidR="00C95E58">
        <w:rPr>
          <w:rFonts w:ascii="Times New Roman" w:hAnsi="Times New Roman" w:cs="Times New Roman"/>
          <w:sz w:val="24"/>
          <w:szCs w:val="24"/>
        </w:rPr>
        <w:t xml:space="preserve">on </w:t>
      </w:r>
      <w:r w:rsidR="00C87241" w:rsidRPr="000630D2">
        <w:rPr>
          <w:rFonts w:ascii="Times New Roman" w:hAnsi="Times New Roman" w:cs="Times New Roman"/>
          <w:sz w:val="24"/>
          <w:szCs w:val="24"/>
        </w:rPr>
        <w:t xml:space="preserve">or before </w:t>
      </w:r>
      <w:r w:rsidR="00007802">
        <w:rPr>
          <w:rFonts w:ascii="Times New Roman" w:hAnsi="Times New Roman" w:cs="Times New Roman"/>
          <w:sz w:val="24"/>
          <w:szCs w:val="24"/>
        </w:rPr>
        <w:t>__, 20__</w:t>
      </w:r>
      <w:r w:rsidR="00C87241" w:rsidRPr="000630D2">
        <w:rPr>
          <w:rFonts w:ascii="Times New Roman" w:hAnsi="Times New Roman" w:cs="Times New Roman"/>
          <w:sz w:val="24"/>
          <w:szCs w:val="24"/>
        </w:rPr>
        <w:t>.</w:t>
      </w:r>
      <w:r w:rsidR="00070316">
        <w:rPr>
          <w:rFonts w:ascii="Times New Roman" w:hAnsi="Times New Roman" w:cs="Times New Roman"/>
          <w:sz w:val="24"/>
          <w:szCs w:val="24"/>
        </w:rPr>
        <w:t xml:space="preserve">  Otherwise, such objections will be deemed overruled.</w:t>
      </w:r>
    </w:p>
    <w:p w:rsidR="000630D2" w:rsidRPr="000630D2" w:rsidRDefault="000630D2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7C" w:rsidRDefault="00735DFC" w:rsidP="00E33BD4">
      <w:pPr>
        <w:pStyle w:val="ListParagraph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E58">
        <w:rPr>
          <w:rFonts w:ascii="Times New Roman" w:hAnsi="Times New Roman" w:cs="Times New Roman"/>
          <w:b/>
          <w:sz w:val="24"/>
          <w:szCs w:val="24"/>
          <w:u w:val="single"/>
        </w:rPr>
        <w:t xml:space="preserve">COUNSEL MEETING PRIOR TO </w:t>
      </w:r>
      <w:r w:rsidR="0010658A">
        <w:rPr>
          <w:rFonts w:ascii="Times New Roman" w:hAnsi="Times New Roman" w:cs="Times New Roman"/>
          <w:b/>
          <w:sz w:val="24"/>
          <w:szCs w:val="24"/>
          <w:u w:val="single"/>
        </w:rPr>
        <w:t>TRIAL</w:t>
      </w:r>
      <w:r w:rsidRPr="006E2B7C">
        <w:rPr>
          <w:rFonts w:ascii="Times New Roman" w:hAnsi="Times New Roman" w:cs="Times New Roman"/>
          <w:sz w:val="24"/>
          <w:szCs w:val="24"/>
        </w:rPr>
        <w:t xml:space="preserve">.  The attorneys for all parties are directed to meet together by agreement initiated by counsel for the Plaintiff, no later than 10 days before the </w:t>
      </w:r>
      <w:r w:rsidR="0010658A">
        <w:rPr>
          <w:rFonts w:ascii="Times New Roman" w:hAnsi="Times New Roman" w:cs="Times New Roman"/>
          <w:sz w:val="24"/>
          <w:szCs w:val="24"/>
        </w:rPr>
        <w:t>trial</w:t>
      </w:r>
      <w:r w:rsidRPr="006E2B7C">
        <w:rPr>
          <w:rFonts w:ascii="Times New Roman" w:hAnsi="Times New Roman" w:cs="Times New Roman"/>
          <w:sz w:val="24"/>
          <w:szCs w:val="24"/>
        </w:rPr>
        <w:t>, to</w:t>
      </w:r>
      <w:r w:rsidR="00C95E58">
        <w:rPr>
          <w:rFonts w:ascii="Times New Roman" w:hAnsi="Times New Roman" w:cs="Times New Roman"/>
          <w:sz w:val="24"/>
          <w:szCs w:val="24"/>
        </w:rPr>
        <w:t xml:space="preserve"> accomplish the following</w:t>
      </w:r>
      <w:r w:rsidRPr="006E2B7C">
        <w:rPr>
          <w:rFonts w:ascii="Times New Roman" w:hAnsi="Times New Roman" w:cs="Times New Roman"/>
          <w:sz w:val="24"/>
          <w:szCs w:val="24"/>
        </w:rPr>
        <w:t>:</w:t>
      </w:r>
    </w:p>
    <w:p w:rsidR="006E2B7C" w:rsidRPr="006E2B7C" w:rsidRDefault="006E2B7C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 xml:space="preserve">Mark </w:t>
      </w:r>
      <w:r w:rsidR="00C95E58">
        <w:rPr>
          <w:rFonts w:ascii="Times New Roman" w:hAnsi="Times New Roman" w:cs="Times New Roman"/>
          <w:sz w:val="24"/>
          <w:szCs w:val="24"/>
        </w:rPr>
        <w:t>all exhibits for identification.</w:t>
      </w:r>
    </w:p>
    <w:p w:rsidR="00DC736D" w:rsidRDefault="00DC736D" w:rsidP="00E33BD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Prepare an exhibit list for the Clerk and Court (</w:t>
      </w:r>
      <w:r w:rsidR="00DA2043">
        <w:rPr>
          <w:rFonts w:ascii="Times New Roman" w:hAnsi="Times New Roman" w:cs="Times New Roman"/>
          <w:sz w:val="24"/>
          <w:szCs w:val="24"/>
        </w:rPr>
        <w:t xml:space="preserve">the </w:t>
      </w:r>
      <w:r w:rsidRPr="00DC736D">
        <w:rPr>
          <w:rFonts w:ascii="Times New Roman" w:hAnsi="Times New Roman" w:cs="Times New Roman"/>
          <w:sz w:val="24"/>
          <w:szCs w:val="24"/>
        </w:rPr>
        <w:t>a</w:t>
      </w:r>
      <w:r w:rsidR="00DA2043">
        <w:rPr>
          <w:rFonts w:ascii="Times New Roman" w:hAnsi="Times New Roman" w:cs="Times New Roman"/>
          <w:sz w:val="24"/>
          <w:szCs w:val="24"/>
        </w:rPr>
        <w:t>ctual exhibits and documentary</w:t>
      </w:r>
      <w:r w:rsidRPr="00DC736D">
        <w:rPr>
          <w:rFonts w:ascii="Times New Roman" w:hAnsi="Times New Roman" w:cs="Times New Roman"/>
          <w:sz w:val="24"/>
          <w:szCs w:val="24"/>
        </w:rPr>
        <w:t xml:space="preserve"> evidence must be availab</w:t>
      </w:r>
      <w:r w:rsidR="00C95E58">
        <w:rPr>
          <w:rFonts w:ascii="Times New Roman" w:hAnsi="Times New Roman" w:cs="Times New Roman"/>
          <w:sz w:val="24"/>
          <w:szCs w:val="24"/>
        </w:rPr>
        <w:t>le for inspection at this time</w:t>
      </w:r>
      <w:r w:rsidR="00DA2043">
        <w:rPr>
          <w:rFonts w:ascii="Times New Roman" w:hAnsi="Times New Roman" w:cs="Times New Roman"/>
          <w:sz w:val="24"/>
          <w:szCs w:val="24"/>
        </w:rPr>
        <w:t xml:space="preserve"> and each exhibit must be separately tagged or tabbed</w:t>
      </w:r>
      <w:r w:rsidR="00C95E58">
        <w:rPr>
          <w:rFonts w:ascii="Times New Roman" w:hAnsi="Times New Roman" w:cs="Times New Roman"/>
          <w:sz w:val="24"/>
          <w:szCs w:val="24"/>
        </w:rPr>
        <w:t>).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Stipulate to the admission into evidence or list specific objections, i</w:t>
      </w:r>
      <w:r w:rsidR="00C95E58">
        <w:rPr>
          <w:rFonts w:ascii="Times New Roman" w:hAnsi="Times New Roman" w:cs="Times New Roman"/>
          <w:sz w:val="24"/>
          <w:szCs w:val="24"/>
        </w:rPr>
        <w:t>f any, to each proposed exhibit.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Stipulate as to any matter of fact and law about which there is no issue to avoid unnecessary proof</w:t>
      </w:r>
      <w:r w:rsidR="00C95E58">
        <w:rPr>
          <w:rFonts w:ascii="Times New Roman" w:hAnsi="Times New Roman" w:cs="Times New Roman"/>
          <w:sz w:val="24"/>
          <w:szCs w:val="24"/>
        </w:rPr>
        <w:t>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Review all depositions which are to be offered for any purpose other than impeachment to resolve objections to the por</w:t>
      </w:r>
      <w:r w:rsidR="00E56C88">
        <w:rPr>
          <w:rFonts w:ascii="Times New Roman" w:hAnsi="Times New Roman" w:cs="Times New Roman"/>
          <w:sz w:val="24"/>
          <w:szCs w:val="24"/>
        </w:rPr>
        <w:t>tions to be offered in evidence.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Discus</w:t>
      </w:r>
      <w:r w:rsidR="00E56C88">
        <w:rPr>
          <w:rFonts w:ascii="Times New Roman" w:hAnsi="Times New Roman" w:cs="Times New Roman"/>
          <w:sz w:val="24"/>
          <w:szCs w:val="24"/>
        </w:rPr>
        <w:t>s the possibility of settlement.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Submit an itemized statement of special dam</w:t>
      </w:r>
      <w:r w:rsidR="00E56C88">
        <w:rPr>
          <w:rFonts w:ascii="Times New Roman" w:hAnsi="Times New Roman" w:cs="Times New Roman"/>
          <w:sz w:val="24"/>
          <w:szCs w:val="24"/>
        </w:rPr>
        <w:t>ages Plaintiff expects to prove.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6D" w:rsidRDefault="00735DFC" w:rsidP="00E33BD4">
      <w:pPr>
        <w:pStyle w:val="ListParagraph"/>
        <w:numPr>
          <w:ilvl w:val="1"/>
          <w:numId w:val="2"/>
        </w:numPr>
        <w:spacing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36D">
        <w:rPr>
          <w:rFonts w:ascii="Times New Roman" w:hAnsi="Times New Roman" w:cs="Times New Roman"/>
          <w:sz w:val="24"/>
          <w:szCs w:val="24"/>
        </w:rPr>
        <w:t>Discuss and complete any other matters which may simplify the issues or aid in the speedy disposition of this action, it</w:t>
      </w:r>
      <w:r w:rsidR="00E56C88">
        <w:rPr>
          <w:rFonts w:ascii="Times New Roman" w:hAnsi="Times New Roman" w:cs="Times New Roman"/>
          <w:sz w:val="24"/>
          <w:szCs w:val="24"/>
        </w:rPr>
        <w:t>s pretrial conference and trial.</w:t>
      </w:r>
    </w:p>
    <w:p w:rsidR="00DC736D" w:rsidRPr="00DC736D" w:rsidRDefault="00DC736D" w:rsidP="00E33BD4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4B15" w:rsidRDefault="00A04041" w:rsidP="00E33BD4">
      <w:pPr>
        <w:pStyle w:val="Default"/>
        <w:numPr>
          <w:ilvl w:val="0"/>
          <w:numId w:val="1"/>
        </w:numPr>
        <w:ind w:left="0" w:firstLine="720"/>
        <w:contextualSpacing/>
        <w:jc w:val="both"/>
        <w:rPr>
          <w:sz w:val="23"/>
          <w:szCs w:val="23"/>
        </w:rPr>
      </w:pPr>
      <w:r w:rsidRPr="00A04041">
        <w:rPr>
          <w:b/>
          <w:sz w:val="23"/>
          <w:szCs w:val="23"/>
          <w:u w:val="single"/>
        </w:rPr>
        <w:t>C</w:t>
      </w:r>
      <w:r w:rsidR="004E386A" w:rsidRPr="00A04041">
        <w:rPr>
          <w:b/>
          <w:sz w:val="23"/>
          <w:szCs w:val="23"/>
          <w:u w:val="single"/>
        </w:rPr>
        <w:t>OURT REPORTING</w:t>
      </w:r>
      <w:r w:rsidR="00D57FCE" w:rsidRPr="005A0431">
        <w:rPr>
          <w:sz w:val="23"/>
          <w:szCs w:val="23"/>
        </w:rPr>
        <w:t xml:space="preserve">.  </w:t>
      </w:r>
      <w:r w:rsidR="004E386A" w:rsidRPr="005A0431">
        <w:rPr>
          <w:sz w:val="23"/>
          <w:szCs w:val="23"/>
        </w:rPr>
        <w:t xml:space="preserve">No later than </w:t>
      </w:r>
      <w:r w:rsidR="00EC433B">
        <w:rPr>
          <w:sz w:val="23"/>
          <w:szCs w:val="23"/>
        </w:rPr>
        <w:t xml:space="preserve">seven </w:t>
      </w:r>
      <w:r w:rsidR="004E386A" w:rsidRPr="005A0431">
        <w:rPr>
          <w:sz w:val="23"/>
          <w:szCs w:val="23"/>
        </w:rPr>
        <w:t xml:space="preserve">days </w:t>
      </w:r>
      <w:r w:rsidR="00EC433B">
        <w:rPr>
          <w:sz w:val="23"/>
          <w:szCs w:val="23"/>
        </w:rPr>
        <w:t>before</w:t>
      </w:r>
      <w:r w:rsidR="004E386A" w:rsidRPr="005A0431">
        <w:rPr>
          <w:sz w:val="23"/>
          <w:szCs w:val="23"/>
        </w:rPr>
        <w:t xml:space="preserve"> the </w:t>
      </w:r>
      <w:r w:rsidR="0010658A">
        <w:rPr>
          <w:sz w:val="23"/>
          <w:szCs w:val="23"/>
        </w:rPr>
        <w:t>trial</w:t>
      </w:r>
      <w:r w:rsidR="00EC433B">
        <w:rPr>
          <w:sz w:val="23"/>
          <w:szCs w:val="23"/>
        </w:rPr>
        <w:t>,</w:t>
      </w:r>
      <w:r w:rsidR="004E386A" w:rsidRPr="005A0431">
        <w:rPr>
          <w:sz w:val="23"/>
          <w:szCs w:val="23"/>
        </w:rPr>
        <w:t xml:space="preserve"> the parties must, if desired, secure the services of a court reporter for trial</w:t>
      </w:r>
      <w:r w:rsidR="00534B15" w:rsidRPr="005A0431">
        <w:rPr>
          <w:sz w:val="23"/>
          <w:szCs w:val="23"/>
        </w:rPr>
        <w:t>.</w:t>
      </w:r>
    </w:p>
    <w:p w:rsidR="00534B15" w:rsidRPr="005A0431" w:rsidRDefault="00534B15" w:rsidP="00E33BD4">
      <w:pPr>
        <w:pStyle w:val="Default"/>
        <w:ind w:left="720"/>
        <w:contextualSpacing/>
        <w:jc w:val="both"/>
        <w:rPr>
          <w:sz w:val="23"/>
          <w:szCs w:val="23"/>
        </w:rPr>
      </w:pPr>
    </w:p>
    <w:p w:rsidR="00FF53DC" w:rsidRPr="00FF53DC" w:rsidRDefault="00534B15" w:rsidP="00E33BD4">
      <w:pPr>
        <w:pStyle w:val="Default"/>
        <w:numPr>
          <w:ilvl w:val="0"/>
          <w:numId w:val="1"/>
        </w:numPr>
        <w:ind w:left="0" w:firstLine="720"/>
        <w:contextualSpacing/>
        <w:jc w:val="both"/>
      </w:pPr>
      <w:r w:rsidRPr="00534B15">
        <w:rPr>
          <w:b/>
          <w:caps/>
          <w:sz w:val="23"/>
          <w:szCs w:val="23"/>
          <w:u w:val="single"/>
        </w:rPr>
        <w:t>Trial Procedures</w:t>
      </w:r>
      <w:r w:rsidRPr="00534B15">
        <w:rPr>
          <w:sz w:val="23"/>
          <w:szCs w:val="23"/>
        </w:rPr>
        <w:t>.</w:t>
      </w:r>
      <w:r>
        <w:rPr>
          <w:sz w:val="23"/>
          <w:szCs w:val="23"/>
        </w:rPr>
        <w:t xml:space="preserve">  The Court will enter contem</w:t>
      </w:r>
      <w:bookmarkStart w:id="0" w:name="_GoBack"/>
      <w:bookmarkEnd w:id="0"/>
      <w:r>
        <w:rPr>
          <w:sz w:val="23"/>
          <w:szCs w:val="23"/>
        </w:rPr>
        <w:t>poraneously with this order an Or</w:t>
      </w:r>
      <w:r w:rsidR="001478FB">
        <w:rPr>
          <w:sz w:val="23"/>
          <w:szCs w:val="23"/>
        </w:rPr>
        <w:t xml:space="preserve">der Identifying Procedures Applicable to </w:t>
      </w:r>
      <w:r w:rsidR="0010658A">
        <w:rPr>
          <w:sz w:val="23"/>
          <w:szCs w:val="23"/>
        </w:rPr>
        <w:t>Non-</w:t>
      </w:r>
      <w:r w:rsidR="001478FB">
        <w:rPr>
          <w:sz w:val="23"/>
          <w:szCs w:val="23"/>
        </w:rPr>
        <w:t>Jury Trials.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  <w:t>DONE AND ORDERED</w:t>
      </w:r>
      <w:r w:rsidR="00DE6FB8">
        <w:rPr>
          <w:rFonts w:ascii="Times New Roman" w:hAnsi="Times New Roman" w:cs="Times New Roman"/>
          <w:sz w:val="24"/>
          <w:szCs w:val="24"/>
        </w:rPr>
        <w:t xml:space="preserve">: </w:t>
      </w:r>
      <w:r w:rsidR="00D57FCE">
        <w:rPr>
          <w:rFonts w:ascii="Times New Roman" w:hAnsi="Times New Roman" w:cs="Times New Roman"/>
          <w:sz w:val="24"/>
          <w:szCs w:val="24"/>
        </w:rPr>
        <w:t>___________________________</w:t>
      </w:r>
      <w:r w:rsidRPr="00FF53DC">
        <w:rPr>
          <w:rFonts w:ascii="Times New Roman" w:hAnsi="Times New Roman" w:cs="Times New Roman"/>
          <w:sz w:val="24"/>
          <w:szCs w:val="24"/>
        </w:rPr>
        <w:t>.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FCE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="00D57FCE">
        <w:rPr>
          <w:rFonts w:ascii="Times New Roman" w:hAnsi="Times New Roman" w:cs="Times New Roman"/>
          <w:sz w:val="24"/>
          <w:szCs w:val="24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  <w:u w:val="single"/>
        </w:rPr>
        <w:tab/>
      </w:r>
      <w:r w:rsidR="00D57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FCE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</w:r>
      <w:r w:rsidRPr="00FF53DC">
        <w:rPr>
          <w:rFonts w:ascii="Times New Roman" w:hAnsi="Times New Roman" w:cs="Times New Roman"/>
          <w:sz w:val="24"/>
          <w:szCs w:val="24"/>
        </w:rPr>
        <w:tab/>
        <w:t>ELIZABETH G. RICE</w:t>
      </w:r>
    </w:p>
    <w:p w:rsidR="00FF53DC" w:rsidRPr="00FF53DC" w:rsidRDefault="00FF53DC" w:rsidP="00E33BD4">
      <w:pPr>
        <w:spacing w:line="240" w:lineRule="auto"/>
        <w:ind w:left="43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F53DC">
        <w:rPr>
          <w:rFonts w:ascii="Times New Roman" w:hAnsi="Times New Roman" w:cs="Times New Roman"/>
          <w:sz w:val="24"/>
          <w:szCs w:val="24"/>
        </w:rPr>
        <w:t>Circuit Court Judge</w:t>
      </w:r>
    </w:p>
    <w:p w:rsidR="00FF53DC" w:rsidRPr="00FF53DC" w:rsidRDefault="00FF53DC" w:rsidP="00E33BD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7FCE" w:rsidRDefault="00D57FCE" w:rsidP="00053715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53DC" w:rsidRPr="008C1C40" w:rsidRDefault="00FF53DC" w:rsidP="00DE6FB8">
      <w:pPr>
        <w:spacing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C1C40">
        <w:rPr>
          <w:rFonts w:ascii="Times New Roman" w:hAnsi="Times New Roman" w:cs="Times New Roman"/>
          <w:i/>
          <w:sz w:val="24"/>
          <w:szCs w:val="24"/>
        </w:rPr>
        <w:t>Conformed copies furnished to:</w:t>
      </w:r>
    </w:p>
    <w:p w:rsidR="00B523E5" w:rsidRPr="00B523E5" w:rsidRDefault="00B523E5" w:rsidP="00053715">
      <w:pPr>
        <w:spacing w:line="276" w:lineRule="auto"/>
        <w:contextualSpacing/>
        <w:rPr>
          <w:rFonts w:ascii="Times New Roman" w:hAnsi="Times New Roman" w:cs="Times New Roman"/>
          <w:sz w:val="18"/>
          <w:szCs w:val="24"/>
        </w:rPr>
      </w:pPr>
    </w:p>
    <w:sectPr w:rsidR="00B523E5" w:rsidRPr="00B523E5" w:rsidSect="00E33BD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40" w:rsidRDefault="008C1C40" w:rsidP="008C1C40">
      <w:pPr>
        <w:spacing w:after="0" w:line="240" w:lineRule="auto"/>
      </w:pPr>
      <w:r>
        <w:separator/>
      </w:r>
    </w:p>
  </w:endnote>
  <w:endnote w:type="continuationSeparator" w:id="0">
    <w:p w:rsidR="008C1C40" w:rsidRDefault="008C1C40" w:rsidP="008C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3161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593E" w:rsidRDefault="00600957" w:rsidP="00600957">
            <w:pPr>
              <w:pStyle w:val="Footer"/>
            </w:pPr>
            <w:r w:rsidRPr="00600957">
              <w:rPr>
                <w:sz w:val="16"/>
              </w:rPr>
              <w:t>Revised 02/15/17</w:t>
            </w:r>
            <w:r>
              <w:tab/>
            </w:r>
            <w:r w:rsidR="00AF593E">
              <w:t xml:space="preserve">Page </w:t>
            </w:r>
            <w:r w:rsidR="00AF593E">
              <w:rPr>
                <w:b/>
                <w:bCs/>
                <w:sz w:val="24"/>
                <w:szCs w:val="24"/>
              </w:rPr>
              <w:fldChar w:fldCharType="begin"/>
            </w:r>
            <w:r w:rsidR="00AF593E">
              <w:rPr>
                <w:b/>
                <w:bCs/>
              </w:rPr>
              <w:instrText xml:space="preserve"> PAGE </w:instrText>
            </w:r>
            <w:r w:rsidR="00AF5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F593E">
              <w:rPr>
                <w:b/>
                <w:bCs/>
                <w:sz w:val="24"/>
                <w:szCs w:val="24"/>
              </w:rPr>
              <w:fldChar w:fldCharType="end"/>
            </w:r>
            <w:r w:rsidR="00AF593E">
              <w:t xml:space="preserve"> of </w:t>
            </w:r>
            <w:r w:rsidR="00AF593E">
              <w:rPr>
                <w:b/>
                <w:bCs/>
                <w:sz w:val="24"/>
                <w:szCs w:val="24"/>
              </w:rPr>
              <w:fldChar w:fldCharType="begin"/>
            </w:r>
            <w:r w:rsidR="00AF593E">
              <w:rPr>
                <w:b/>
                <w:bCs/>
              </w:rPr>
              <w:instrText xml:space="preserve"> NUMPAGES  </w:instrText>
            </w:r>
            <w:r w:rsidR="00AF593E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AF593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C1C40" w:rsidRPr="008B2CCC" w:rsidRDefault="008C1C40" w:rsidP="008B2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40" w:rsidRDefault="008C1C40" w:rsidP="008C1C40">
      <w:pPr>
        <w:spacing w:after="0" w:line="240" w:lineRule="auto"/>
      </w:pPr>
      <w:r>
        <w:separator/>
      </w:r>
    </w:p>
  </w:footnote>
  <w:footnote w:type="continuationSeparator" w:id="0">
    <w:p w:rsidR="008C1C40" w:rsidRDefault="008C1C40" w:rsidP="008C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32D"/>
    <w:multiLevelType w:val="hybridMultilevel"/>
    <w:tmpl w:val="96026A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593A48"/>
    <w:multiLevelType w:val="hybridMultilevel"/>
    <w:tmpl w:val="C796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F42C08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DC"/>
    <w:rsid w:val="00002746"/>
    <w:rsid w:val="00007802"/>
    <w:rsid w:val="00053715"/>
    <w:rsid w:val="000630D2"/>
    <w:rsid w:val="00070316"/>
    <w:rsid w:val="00093E49"/>
    <w:rsid w:val="000C074B"/>
    <w:rsid w:val="000F320B"/>
    <w:rsid w:val="0010019E"/>
    <w:rsid w:val="0010658A"/>
    <w:rsid w:val="00114C70"/>
    <w:rsid w:val="001478FB"/>
    <w:rsid w:val="00176575"/>
    <w:rsid w:val="001929CE"/>
    <w:rsid w:val="001D0551"/>
    <w:rsid w:val="001D7385"/>
    <w:rsid w:val="00206C0B"/>
    <w:rsid w:val="00236EE5"/>
    <w:rsid w:val="00257950"/>
    <w:rsid w:val="0026285D"/>
    <w:rsid w:val="00302D0B"/>
    <w:rsid w:val="003048EF"/>
    <w:rsid w:val="0037764E"/>
    <w:rsid w:val="00382CEF"/>
    <w:rsid w:val="00392FF0"/>
    <w:rsid w:val="003E64EF"/>
    <w:rsid w:val="003E7290"/>
    <w:rsid w:val="003E75C5"/>
    <w:rsid w:val="004241A5"/>
    <w:rsid w:val="00487838"/>
    <w:rsid w:val="00494727"/>
    <w:rsid w:val="004E386A"/>
    <w:rsid w:val="00534B15"/>
    <w:rsid w:val="005374EA"/>
    <w:rsid w:val="005A0431"/>
    <w:rsid w:val="005A3E22"/>
    <w:rsid w:val="005B2372"/>
    <w:rsid w:val="00600957"/>
    <w:rsid w:val="00661B81"/>
    <w:rsid w:val="006C1BB7"/>
    <w:rsid w:val="006E2B7C"/>
    <w:rsid w:val="00733C30"/>
    <w:rsid w:val="00735DFC"/>
    <w:rsid w:val="00740FAA"/>
    <w:rsid w:val="00747758"/>
    <w:rsid w:val="007855CE"/>
    <w:rsid w:val="007C1122"/>
    <w:rsid w:val="008B2CCC"/>
    <w:rsid w:val="008C1C40"/>
    <w:rsid w:val="008F3BC3"/>
    <w:rsid w:val="00913FF2"/>
    <w:rsid w:val="0091670F"/>
    <w:rsid w:val="0095793D"/>
    <w:rsid w:val="0097516A"/>
    <w:rsid w:val="009C29E0"/>
    <w:rsid w:val="00A04041"/>
    <w:rsid w:val="00A41657"/>
    <w:rsid w:val="00A77D13"/>
    <w:rsid w:val="00AD7140"/>
    <w:rsid w:val="00AF593E"/>
    <w:rsid w:val="00B523E5"/>
    <w:rsid w:val="00B5428E"/>
    <w:rsid w:val="00BC3970"/>
    <w:rsid w:val="00BD5099"/>
    <w:rsid w:val="00BD6875"/>
    <w:rsid w:val="00BE4092"/>
    <w:rsid w:val="00C11819"/>
    <w:rsid w:val="00C40C26"/>
    <w:rsid w:val="00C76292"/>
    <w:rsid w:val="00C87241"/>
    <w:rsid w:val="00C95E58"/>
    <w:rsid w:val="00CC060E"/>
    <w:rsid w:val="00CF5599"/>
    <w:rsid w:val="00D07AAF"/>
    <w:rsid w:val="00D57FCE"/>
    <w:rsid w:val="00D70A3E"/>
    <w:rsid w:val="00D83975"/>
    <w:rsid w:val="00DA2043"/>
    <w:rsid w:val="00DC736D"/>
    <w:rsid w:val="00DE6FB8"/>
    <w:rsid w:val="00E2101C"/>
    <w:rsid w:val="00E33BD4"/>
    <w:rsid w:val="00E34573"/>
    <w:rsid w:val="00E56C88"/>
    <w:rsid w:val="00E77DE3"/>
    <w:rsid w:val="00EA074D"/>
    <w:rsid w:val="00EC433B"/>
    <w:rsid w:val="00ED17D3"/>
    <w:rsid w:val="00EF35F9"/>
    <w:rsid w:val="00F15B6E"/>
    <w:rsid w:val="00F85E2B"/>
    <w:rsid w:val="00F96ECB"/>
    <w:rsid w:val="00FA0603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E0083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657"/>
    <w:pPr>
      <w:ind w:left="720"/>
      <w:contextualSpacing/>
    </w:pPr>
  </w:style>
  <w:style w:type="paragraph" w:customStyle="1" w:styleId="Default">
    <w:name w:val="Default"/>
    <w:rsid w:val="00E21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C40"/>
  </w:style>
  <w:style w:type="paragraph" w:styleId="Footer">
    <w:name w:val="footer"/>
    <w:basedOn w:val="Normal"/>
    <w:link w:val="FooterChar"/>
    <w:uiPriority w:val="99"/>
    <w:unhideWhenUsed/>
    <w:rsid w:val="008C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C40"/>
  </w:style>
  <w:style w:type="paragraph" w:styleId="BalloonText">
    <w:name w:val="Balloon Text"/>
    <w:basedOn w:val="Normal"/>
    <w:link w:val="BalloonTextChar"/>
    <w:uiPriority w:val="99"/>
    <w:semiHidden/>
    <w:unhideWhenUsed/>
    <w:rsid w:val="00DE6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2016-11-08T19:43:00Z</dcterms:created>
  <dcterms:modified xsi:type="dcterms:W3CDTF">2017-02-15T20:25:00Z</dcterms:modified>
</cp:coreProperties>
</file>