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909" w:rsidRPr="006A4909" w:rsidRDefault="006A4909" w:rsidP="006A4909">
      <w:pPr>
        <w:jc w:val="center"/>
        <w:rPr>
          <w:sz w:val="22"/>
          <w:szCs w:val="22"/>
        </w:rPr>
      </w:pPr>
      <w:bookmarkStart w:id="0" w:name="_GoBack"/>
      <w:bookmarkEnd w:id="0"/>
      <w:r w:rsidRPr="006A4909">
        <w:rPr>
          <w:sz w:val="22"/>
          <w:szCs w:val="22"/>
        </w:rPr>
        <w:t>IN THE CIRCUIT COURT OF THE THIRTEENTH JUDICIAL CIRCUIT</w:t>
      </w:r>
    </w:p>
    <w:p w:rsidR="006A4909" w:rsidRPr="006A4909" w:rsidRDefault="006A4909" w:rsidP="006A4909">
      <w:pPr>
        <w:jc w:val="center"/>
        <w:rPr>
          <w:sz w:val="22"/>
          <w:szCs w:val="22"/>
        </w:rPr>
      </w:pPr>
      <w:r w:rsidRPr="006A4909">
        <w:rPr>
          <w:sz w:val="22"/>
          <w:szCs w:val="22"/>
        </w:rPr>
        <w:t>HILLSBOROUGH COUNTY, FLORIDA</w:t>
      </w:r>
    </w:p>
    <w:p w:rsidR="006A4909" w:rsidRPr="006A4909" w:rsidRDefault="006A4909" w:rsidP="006A4909">
      <w:pPr>
        <w:jc w:val="center"/>
        <w:rPr>
          <w:sz w:val="22"/>
          <w:szCs w:val="22"/>
        </w:rPr>
      </w:pPr>
      <w:r w:rsidRPr="006A4909">
        <w:rPr>
          <w:sz w:val="22"/>
          <w:szCs w:val="22"/>
        </w:rPr>
        <w:t>CIVIL DIVISION</w:t>
      </w:r>
    </w:p>
    <w:p w:rsidR="006A4909" w:rsidRPr="006A4909" w:rsidRDefault="006A4909" w:rsidP="006A4909">
      <w:pPr>
        <w:rPr>
          <w:sz w:val="22"/>
          <w:szCs w:val="22"/>
        </w:rPr>
      </w:pPr>
    </w:p>
    <w:p w:rsidR="006A4909" w:rsidRPr="006A4909" w:rsidRDefault="006A4909" w:rsidP="006A4909">
      <w:pPr>
        <w:rPr>
          <w:sz w:val="22"/>
          <w:szCs w:val="22"/>
        </w:rPr>
      </w:pPr>
      <w:r w:rsidRPr="006A4909">
        <w:rPr>
          <w:sz w:val="22"/>
          <w:szCs w:val="22"/>
        </w:rPr>
        <w:t xml:space="preserve">, </w:t>
      </w:r>
    </w:p>
    <w:p w:rsidR="006A4909" w:rsidRPr="006A4909" w:rsidRDefault="006A4909" w:rsidP="006A4909">
      <w:pPr>
        <w:rPr>
          <w:sz w:val="22"/>
          <w:szCs w:val="22"/>
        </w:rPr>
      </w:pPr>
      <w:r w:rsidRPr="006A4909">
        <w:rPr>
          <w:sz w:val="22"/>
          <w:szCs w:val="22"/>
        </w:rPr>
        <w:tab/>
        <w:t>Plaintiff(s),</w:t>
      </w:r>
    </w:p>
    <w:p w:rsidR="006A4909" w:rsidRPr="006A4909" w:rsidRDefault="006A4909" w:rsidP="006A4909">
      <w:pPr>
        <w:rPr>
          <w:sz w:val="22"/>
          <w:szCs w:val="22"/>
        </w:rPr>
      </w:pP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t>Case No.:</w:t>
      </w:r>
    </w:p>
    <w:p w:rsidR="006A4909" w:rsidRPr="006A4909" w:rsidRDefault="006A4909" w:rsidP="006A4909">
      <w:pPr>
        <w:rPr>
          <w:sz w:val="22"/>
          <w:szCs w:val="22"/>
        </w:rPr>
      </w:pPr>
      <w:r w:rsidRPr="006A4909">
        <w:rPr>
          <w:sz w:val="22"/>
          <w:szCs w:val="22"/>
        </w:rPr>
        <w:t>vs.</w:t>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t>Division “C”</w:t>
      </w:r>
    </w:p>
    <w:p w:rsidR="006A4909" w:rsidRPr="006A4909" w:rsidRDefault="006A4909" w:rsidP="006A4909">
      <w:pPr>
        <w:rPr>
          <w:sz w:val="22"/>
          <w:szCs w:val="22"/>
        </w:rPr>
      </w:pP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r>
      <w:r w:rsidRPr="006A4909">
        <w:rPr>
          <w:sz w:val="22"/>
          <w:szCs w:val="22"/>
        </w:rPr>
        <w:tab/>
        <w:t>RMF CASE</w:t>
      </w:r>
    </w:p>
    <w:p w:rsidR="006A4909" w:rsidRPr="006A4909" w:rsidRDefault="006A4909" w:rsidP="006A4909">
      <w:pPr>
        <w:rPr>
          <w:sz w:val="22"/>
          <w:szCs w:val="22"/>
        </w:rPr>
      </w:pPr>
      <w:r w:rsidRPr="006A4909">
        <w:rPr>
          <w:sz w:val="22"/>
          <w:szCs w:val="22"/>
        </w:rPr>
        <w:t>,</w:t>
      </w:r>
    </w:p>
    <w:p w:rsidR="006A4909" w:rsidRPr="006A4909" w:rsidRDefault="006A4909" w:rsidP="006A4909">
      <w:pPr>
        <w:rPr>
          <w:sz w:val="22"/>
          <w:szCs w:val="22"/>
        </w:rPr>
      </w:pPr>
      <w:r w:rsidRPr="006A4909">
        <w:rPr>
          <w:sz w:val="22"/>
          <w:szCs w:val="22"/>
        </w:rPr>
        <w:tab/>
        <w:t>Defendant(s).</w:t>
      </w:r>
    </w:p>
    <w:p w:rsidR="006A4909" w:rsidRPr="006A4909" w:rsidRDefault="006A4909" w:rsidP="006A4909">
      <w:pPr>
        <w:rPr>
          <w:sz w:val="22"/>
          <w:szCs w:val="22"/>
        </w:rPr>
      </w:pPr>
      <w:r w:rsidRPr="006A4909">
        <w:rPr>
          <w:sz w:val="22"/>
          <w:szCs w:val="22"/>
          <w:u w:val="single"/>
        </w:rPr>
        <w:tab/>
      </w:r>
      <w:r w:rsidRPr="006A4909">
        <w:rPr>
          <w:sz w:val="22"/>
          <w:szCs w:val="22"/>
          <w:u w:val="single"/>
        </w:rPr>
        <w:tab/>
      </w:r>
      <w:r w:rsidRPr="006A4909">
        <w:rPr>
          <w:sz w:val="22"/>
          <w:szCs w:val="22"/>
          <w:u w:val="single"/>
        </w:rPr>
        <w:tab/>
      </w:r>
      <w:r w:rsidRPr="006A4909">
        <w:rPr>
          <w:sz w:val="22"/>
          <w:szCs w:val="22"/>
          <w:u w:val="single"/>
        </w:rPr>
        <w:tab/>
      </w:r>
      <w:r w:rsidRPr="006A4909">
        <w:rPr>
          <w:sz w:val="22"/>
          <w:szCs w:val="22"/>
          <w:u w:val="single"/>
        </w:rPr>
        <w:tab/>
      </w:r>
      <w:r w:rsidRPr="006A4909">
        <w:rPr>
          <w:sz w:val="22"/>
          <w:szCs w:val="22"/>
          <w:u w:val="single"/>
        </w:rPr>
        <w:tab/>
      </w:r>
      <w:r w:rsidRPr="006A4909">
        <w:rPr>
          <w:sz w:val="22"/>
          <w:szCs w:val="22"/>
          <w:u w:val="single"/>
        </w:rPr>
        <w:tab/>
      </w:r>
      <w:r w:rsidRPr="006A4909">
        <w:rPr>
          <w:sz w:val="22"/>
          <w:szCs w:val="22"/>
        </w:rPr>
        <w:t>/</w:t>
      </w:r>
    </w:p>
    <w:p w:rsidR="006A4909" w:rsidRDefault="006A4909" w:rsidP="006A4909">
      <w:pPr>
        <w:jc w:val="both"/>
      </w:pPr>
    </w:p>
    <w:p w:rsidR="00E364FF" w:rsidRPr="00E364FF" w:rsidRDefault="00F26846" w:rsidP="00AD3EA2">
      <w:pPr>
        <w:jc w:val="center"/>
        <w:rPr>
          <w:b/>
          <w:sz w:val="24"/>
          <w:u w:val="single"/>
          <w:lang w:eastAsia="ja-JP"/>
        </w:rPr>
      </w:pPr>
      <w:r w:rsidRPr="00E364FF">
        <w:rPr>
          <w:b/>
          <w:sz w:val="24"/>
          <w:u w:val="single"/>
          <w:lang w:eastAsia="ja-JP"/>
        </w:rPr>
        <w:t xml:space="preserve">ORDER IDENTIFYING </w:t>
      </w:r>
      <w:r w:rsidR="00E364FF" w:rsidRPr="00E364FF">
        <w:rPr>
          <w:b/>
          <w:sz w:val="24"/>
          <w:u w:val="single"/>
          <w:lang w:eastAsia="ja-JP"/>
        </w:rPr>
        <w:t>PROCEDURES APPLICABLE TO CONTESTED</w:t>
      </w:r>
    </w:p>
    <w:p w:rsidR="00E5760D" w:rsidRPr="00E364FF" w:rsidRDefault="00E364FF" w:rsidP="00E364FF">
      <w:pPr>
        <w:jc w:val="center"/>
        <w:rPr>
          <w:b/>
          <w:sz w:val="24"/>
          <w:u w:val="single"/>
          <w:lang w:eastAsia="ja-JP"/>
        </w:rPr>
      </w:pPr>
      <w:r w:rsidRPr="00E364FF">
        <w:rPr>
          <w:b/>
          <w:sz w:val="24"/>
          <w:u w:val="single"/>
          <w:lang w:eastAsia="ja-JP"/>
        </w:rPr>
        <w:t xml:space="preserve">RESIDENTIAL MORTGAGE FORECLOSURE </w:t>
      </w:r>
      <w:r w:rsidR="006E47B1" w:rsidRPr="00E364FF">
        <w:rPr>
          <w:b/>
          <w:sz w:val="24"/>
          <w:u w:val="single"/>
          <w:lang w:eastAsia="ja-JP"/>
        </w:rPr>
        <w:t>NON-</w:t>
      </w:r>
      <w:r w:rsidR="00E5760D" w:rsidRPr="00E364FF">
        <w:rPr>
          <w:b/>
          <w:sz w:val="24"/>
          <w:u w:val="single"/>
          <w:lang w:eastAsia="ja-JP"/>
        </w:rPr>
        <w:t>JURY TRIALS</w:t>
      </w:r>
    </w:p>
    <w:p w:rsidR="00E364FF" w:rsidRPr="00E364FF" w:rsidRDefault="00E62E2D" w:rsidP="00AD3EA2">
      <w:pPr>
        <w:jc w:val="center"/>
        <w:rPr>
          <w:b/>
          <w:sz w:val="24"/>
          <w:lang w:eastAsia="ja-JP"/>
        </w:rPr>
      </w:pPr>
      <w:r>
        <w:rPr>
          <w:b/>
          <w:sz w:val="24"/>
          <w:lang w:eastAsia="ja-JP"/>
        </w:rPr>
        <w:t>(Revised 01/05/18</w:t>
      </w:r>
      <w:r w:rsidR="00E364FF">
        <w:rPr>
          <w:b/>
          <w:sz w:val="24"/>
          <w:lang w:eastAsia="ja-JP"/>
        </w:rPr>
        <w:t>)</w:t>
      </w:r>
    </w:p>
    <w:p w:rsidR="003B7FFE" w:rsidRDefault="003B7FFE" w:rsidP="00231419">
      <w:pPr>
        <w:jc w:val="both"/>
        <w:rPr>
          <w:sz w:val="24"/>
          <w:lang w:eastAsia="ja-JP"/>
        </w:rPr>
      </w:pPr>
    </w:p>
    <w:p w:rsidR="00F6121C" w:rsidRDefault="00E5760D" w:rsidP="00F6121C">
      <w:pPr>
        <w:jc w:val="both"/>
        <w:rPr>
          <w:sz w:val="24"/>
          <w:lang w:eastAsia="ja-JP"/>
        </w:rPr>
      </w:pPr>
      <w:r>
        <w:rPr>
          <w:sz w:val="24"/>
          <w:lang w:eastAsia="ja-JP"/>
        </w:rPr>
        <w:tab/>
        <w:t xml:space="preserve">The following procedures are applicable to </w:t>
      </w:r>
      <w:r w:rsidR="00FD38DB">
        <w:rPr>
          <w:sz w:val="24"/>
          <w:lang w:eastAsia="ja-JP"/>
        </w:rPr>
        <w:t xml:space="preserve">all </w:t>
      </w:r>
      <w:r w:rsidR="00E364FF">
        <w:rPr>
          <w:sz w:val="24"/>
          <w:lang w:eastAsia="ja-JP"/>
        </w:rPr>
        <w:t xml:space="preserve">contested residential mortgage foreclosure </w:t>
      </w:r>
      <w:r w:rsidR="00A83EE9">
        <w:rPr>
          <w:sz w:val="24"/>
          <w:lang w:eastAsia="ja-JP"/>
        </w:rPr>
        <w:t>non-</w:t>
      </w:r>
      <w:r>
        <w:rPr>
          <w:sz w:val="24"/>
          <w:lang w:eastAsia="ja-JP"/>
        </w:rPr>
        <w:t xml:space="preserve">jury trials conducted before the Honorable </w:t>
      </w:r>
      <w:r w:rsidR="004873B1">
        <w:rPr>
          <w:sz w:val="24"/>
          <w:lang w:eastAsia="ja-JP"/>
        </w:rPr>
        <w:t>Elizabeth G. Rice</w:t>
      </w:r>
      <w:r>
        <w:rPr>
          <w:sz w:val="24"/>
          <w:lang w:eastAsia="ja-JP"/>
        </w:rPr>
        <w:t>, Circuit Judge:</w:t>
      </w:r>
    </w:p>
    <w:p w:rsidR="00FD38DB" w:rsidRDefault="00FD38DB" w:rsidP="00F6121C">
      <w:pPr>
        <w:jc w:val="both"/>
        <w:rPr>
          <w:sz w:val="24"/>
          <w:lang w:eastAsia="ja-JP"/>
        </w:rPr>
      </w:pPr>
    </w:p>
    <w:p w:rsidR="007C415B" w:rsidRDefault="00791AE6" w:rsidP="00F7496F">
      <w:pPr>
        <w:numPr>
          <w:ilvl w:val="0"/>
          <w:numId w:val="1"/>
        </w:numPr>
        <w:ind w:left="0" w:firstLine="720"/>
        <w:jc w:val="both"/>
        <w:rPr>
          <w:sz w:val="24"/>
          <w:lang w:eastAsia="ja-JP"/>
        </w:rPr>
      </w:pPr>
      <w:r w:rsidRPr="009571B7">
        <w:rPr>
          <w:b/>
          <w:sz w:val="24"/>
          <w:u w:val="single"/>
          <w:lang w:eastAsia="ja-JP"/>
        </w:rPr>
        <w:t>Exhibits &amp; Witness Lists</w:t>
      </w:r>
      <w:r>
        <w:rPr>
          <w:sz w:val="24"/>
          <w:lang w:eastAsia="ja-JP"/>
        </w:rPr>
        <w:t>.</w:t>
      </w:r>
    </w:p>
    <w:p w:rsidR="00D65606" w:rsidRPr="00237911" w:rsidRDefault="00D65606" w:rsidP="00D65606">
      <w:pPr>
        <w:ind w:left="720"/>
        <w:jc w:val="both"/>
        <w:rPr>
          <w:sz w:val="24"/>
          <w:lang w:eastAsia="ja-JP"/>
        </w:rPr>
      </w:pPr>
    </w:p>
    <w:p w:rsidR="00DB7EC9" w:rsidRDefault="00DB7EC9" w:rsidP="00DB7EC9">
      <w:pPr>
        <w:numPr>
          <w:ilvl w:val="1"/>
          <w:numId w:val="1"/>
        </w:numPr>
        <w:ind w:left="720" w:firstLine="720"/>
        <w:jc w:val="both"/>
        <w:rPr>
          <w:sz w:val="24"/>
          <w:lang w:eastAsia="ja-JP"/>
        </w:rPr>
      </w:pPr>
      <w:r w:rsidRPr="00DE2216">
        <w:rPr>
          <w:b/>
          <w:sz w:val="24"/>
          <w:lang w:eastAsia="ja-JP"/>
        </w:rPr>
        <w:t>Trial Exhibit</w:t>
      </w:r>
      <w:r>
        <w:rPr>
          <w:b/>
          <w:sz w:val="24"/>
          <w:lang w:eastAsia="ja-JP"/>
        </w:rPr>
        <w:t xml:space="preserve"> Lists</w:t>
      </w:r>
      <w:r>
        <w:rPr>
          <w:sz w:val="24"/>
          <w:lang w:eastAsia="ja-JP"/>
        </w:rPr>
        <w:t xml:space="preserve">.  </w:t>
      </w:r>
      <w:r w:rsidRPr="00E364FF">
        <w:rPr>
          <w:b/>
          <w:sz w:val="24"/>
          <w:lang w:eastAsia="ja-JP"/>
        </w:rPr>
        <w:t xml:space="preserve">No later than </w:t>
      </w:r>
      <w:r w:rsidR="00E364FF" w:rsidRPr="00E364FF">
        <w:rPr>
          <w:b/>
          <w:sz w:val="24"/>
          <w:lang w:eastAsia="ja-JP"/>
        </w:rPr>
        <w:t>three business days</w:t>
      </w:r>
      <w:r w:rsidR="00E364FF">
        <w:rPr>
          <w:sz w:val="24"/>
          <w:lang w:eastAsia="ja-JP"/>
        </w:rPr>
        <w:t xml:space="preserve"> </w:t>
      </w:r>
      <w:r w:rsidRPr="00E364FF">
        <w:rPr>
          <w:b/>
          <w:sz w:val="24"/>
          <w:lang w:eastAsia="ja-JP"/>
        </w:rPr>
        <w:t>before</w:t>
      </w:r>
      <w:r>
        <w:rPr>
          <w:sz w:val="24"/>
          <w:lang w:eastAsia="ja-JP"/>
        </w:rPr>
        <w:t xml:space="preserve"> commencement of trial, each attorney shall file with the clerk </w:t>
      </w:r>
      <w:r w:rsidR="00A83E3D">
        <w:rPr>
          <w:sz w:val="24"/>
          <w:lang w:eastAsia="ja-JP"/>
        </w:rPr>
        <w:t>o</w:t>
      </w:r>
      <w:r>
        <w:rPr>
          <w:sz w:val="24"/>
          <w:lang w:eastAsia="ja-JP"/>
        </w:rPr>
        <w:t xml:space="preserve">f the court the original and </w:t>
      </w:r>
      <w:r w:rsidRPr="00E62E2D">
        <w:rPr>
          <w:b/>
          <w:sz w:val="24"/>
          <w:lang w:eastAsia="ja-JP"/>
        </w:rPr>
        <w:t>provide to the Court a</w:t>
      </w:r>
      <w:r>
        <w:rPr>
          <w:sz w:val="24"/>
          <w:lang w:eastAsia="ja-JP"/>
        </w:rPr>
        <w:t xml:space="preserve"> </w:t>
      </w:r>
      <w:r w:rsidRPr="00A542F9">
        <w:rPr>
          <w:b/>
          <w:sz w:val="24"/>
          <w:lang w:eastAsia="ja-JP"/>
        </w:rPr>
        <w:t>courtesy copy</w:t>
      </w:r>
      <w:r>
        <w:rPr>
          <w:sz w:val="24"/>
          <w:lang w:eastAsia="ja-JP"/>
        </w:rPr>
        <w:t xml:space="preserve"> of a list of exhibits, numbered in the sequence in which the attorney will tender same.  The exhibit list shall describe the exhibit sufficiently for the Court to identify it.</w:t>
      </w:r>
      <w:r w:rsidR="00117FA1">
        <w:rPr>
          <w:sz w:val="24"/>
          <w:lang w:eastAsia="ja-JP"/>
        </w:rPr>
        <w:t xml:space="preserve">  </w:t>
      </w:r>
      <w:r w:rsidR="00117FA1" w:rsidRPr="00FD38DB">
        <w:rPr>
          <w:b/>
          <w:sz w:val="24"/>
          <w:lang w:eastAsia="ja-JP"/>
        </w:rPr>
        <w:t>The parties shall use the form of the exhibit list available on the Court’s judicial directory forms page under the heading GENERAL/Trial/Pretrial.</w:t>
      </w:r>
    </w:p>
    <w:p w:rsidR="00DB7EC9" w:rsidRDefault="00DB7EC9" w:rsidP="00DB7EC9">
      <w:pPr>
        <w:ind w:left="1440"/>
        <w:jc w:val="both"/>
        <w:rPr>
          <w:sz w:val="24"/>
          <w:lang w:eastAsia="ja-JP"/>
        </w:rPr>
      </w:pPr>
    </w:p>
    <w:p w:rsidR="00A83E3D" w:rsidRDefault="007C415B" w:rsidP="00A83E3D">
      <w:pPr>
        <w:numPr>
          <w:ilvl w:val="1"/>
          <w:numId w:val="1"/>
        </w:numPr>
        <w:ind w:left="720" w:firstLine="720"/>
        <w:jc w:val="both"/>
        <w:rPr>
          <w:sz w:val="24"/>
          <w:lang w:eastAsia="ja-JP"/>
        </w:rPr>
      </w:pPr>
      <w:r w:rsidRPr="00A83E3D">
        <w:rPr>
          <w:b/>
          <w:sz w:val="24"/>
          <w:lang w:eastAsia="ja-JP"/>
        </w:rPr>
        <w:t>Trial Exhibits</w:t>
      </w:r>
      <w:r w:rsidRPr="00A83E3D">
        <w:rPr>
          <w:sz w:val="24"/>
          <w:lang w:eastAsia="ja-JP"/>
        </w:rPr>
        <w:t xml:space="preserve">.  </w:t>
      </w:r>
      <w:r w:rsidR="00A83E3D" w:rsidRPr="003E3523">
        <w:rPr>
          <w:sz w:val="24"/>
          <w:lang w:eastAsia="ja-JP"/>
        </w:rPr>
        <w:t>All</w:t>
      </w:r>
      <w:r w:rsidR="00A83E3D">
        <w:rPr>
          <w:sz w:val="24"/>
          <w:lang w:eastAsia="ja-JP"/>
        </w:rPr>
        <w:t xml:space="preserve"> exhibits shall be pre-marked with a permanent exhibit tag or stamp as prescribed by the clerk's office.  </w:t>
      </w:r>
      <w:r w:rsidR="00A83E3D" w:rsidRPr="00A542F9">
        <w:rPr>
          <w:sz w:val="24"/>
          <w:lang w:eastAsia="ja-JP"/>
        </w:rPr>
        <w:t xml:space="preserve">In addition, </w:t>
      </w:r>
      <w:r w:rsidR="00A83E3D">
        <w:rPr>
          <w:sz w:val="24"/>
          <w:lang w:eastAsia="ja-JP"/>
        </w:rPr>
        <w:t>counsel for the parties s</w:t>
      </w:r>
      <w:r w:rsidR="00A83E3D" w:rsidRPr="00A542F9">
        <w:rPr>
          <w:sz w:val="24"/>
          <w:lang w:eastAsia="ja-JP"/>
        </w:rPr>
        <w:t xml:space="preserve">hall deliver to the Court no later than </w:t>
      </w:r>
      <w:r w:rsidR="00E364FF" w:rsidRPr="00E364FF">
        <w:rPr>
          <w:b/>
          <w:sz w:val="24"/>
          <w:lang w:eastAsia="ja-JP"/>
        </w:rPr>
        <w:t>three</w:t>
      </w:r>
      <w:r w:rsidR="00A83E3D" w:rsidRPr="00E364FF">
        <w:rPr>
          <w:b/>
          <w:sz w:val="24"/>
          <w:lang w:eastAsia="ja-JP"/>
        </w:rPr>
        <w:t xml:space="preserve"> business days before</w:t>
      </w:r>
      <w:r w:rsidR="00A83E3D" w:rsidRPr="00A542F9">
        <w:rPr>
          <w:sz w:val="24"/>
          <w:lang w:eastAsia="ja-JP"/>
        </w:rPr>
        <w:t xml:space="preserve"> the commencement of </w:t>
      </w:r>
      <w:r w:rsidR="00A83E3D">
        <w:rPr>
          <w:sz w:val="24"/>
          <w:lang w:eastAsia="ja-JP"/>
        </w:rPr>
        <w:t>trial the following:</w:t>
      </w:r>
    </w:p>
    <w:p w:rsidR="00A83E3D" w:rsidRDefault="00A83E3D" w:rsidP="00A83E3D">
      <w:pPr>
        <w:pStyle w:val="ListParagraph"/>
        <w:rPr>
          <w:sz w:val="24"/>
          <w:lang w:eastAsia="ja-JP"/>
        </w:rPr>
      </w:pPr>
    </w:p>
    <w:p w:rsidR="00A83E3D" w:rsidRDefault="00FD38DB" w:rsidP="00A83E3D">
      <w:pPr>
        <w:numPr>
          <w:ilvl w:val="4"/>
          <w:numId w:val="1"/>
        </w:numPr>
        <w:ind w:left="1440" w:firstLine="720"/>
        <w:jc w:val="both"/>
        <w:rPr>
          <w:sz w:val="24"/>
          <w:lang w:eastAsia="ja-JP"/>
        </w:rPr>
      </w:pPr>
      <w:r>
        <w:rPr>
          <w:sz w:val="24"/>
          <w:lang w:eastAsia="ja-JP"/>
        </w:rPr>
        <w:t xml:space="preserve">a notebook binder containing </w:t>
      </w:r>
      <w:r w:rsidRPr="00FD38DB">
        <w:rPr>
          <w:b/>
          <w:sz w:val="24"/>
          <w:u w:val="single"/>
          <w:lang w:eastAsia="ja-JP"/>
        </w:rPr>
        <w:t>one</w:t>
      </w:r>
      <w:r w:rsidR="00A83E3D" w:rsidRPr="00A542F9">
        <w:rPr>
          <w:sz w:val="24"/>
          <w:lang w:eastAsia="ja-JP"/>
        </w:rPr>
        <w:t xml:space="preserve"> compl</w:t>
      </w:r>
      <w:r>
        <w:rPr>
          <w:sz w:val="24"/>
          <w:lang w:eastAsia="ja-JP"/>
        </w:rPr>
        <w:t>ete set</w:t>
      </w:r>
      <w:r w:rsidR="00A83E3D">
        <w:rPr>
          <w:sz w:val="24"/>
          <w:lang w:eastAsia="ja-JP"/>
        </w:rPr>
        <w:t xml:space="preserve"> of trial exhibits </w:t>
      </w:r>
      <w:r w:rsidR="00A83E3D" w:rsidRPr="007C5258">
        <w:rPr>
          <w:b/>
          <w:sz w:val="24"/>
          <w:lang w:eastAsia="ja-JP"/>
        </w:rPr>
        <w:t>for the clerk</w:t>
      </w:r>
      <w:r w:rsidR="00A83E3D">
        <w:rPr>
          <w:sz w:val="24"/>
          <w:lang w:eastAsia="ja-JP"/>
        </w:rPr>
        <w:t xml:space="preserve"> </w:t>
      </w:r>
      <w:r w:rsidR="00A83E3D" w:rsidRPr="00CD61F7">
        <w:rPr>
          <w:b/>
          <w:sz w:val="24"/>
          <w:lang w:eastAsia="ja-JP"/>
        </w:rPr>
        <w:t>of the co</w:t>
      </w:r>
      <w:r w:rsidR="00A83E3D" w:rsidRPr="006B5808">
        <w:rPr>
          <w:b/>
          <w:sz w:val="24"/>
          <w:lang w:eastAsia="ja-JP"/>
        </w:rPr>
        <w:t>urt</w:t>
      </w:r>
      <w:r>
        <w:rPr>
          <w:sz w:val="24"/>
          <w:lang w:eastAsia="ja-JP"/>
        </w:rPr>
        <w:t>, together with the exhibit list referenced above;</w:t>
      </w:r>
      <w:r w:rsidR="00A83E3D">
        <w:rPr>
          <w:sz w:val="24"/>
          <w:lang w:eastAsia="ja-JP"/>
        </w:rPr>
        <w:t xml:space="preserve"> and</w:t>
      </w:r>
    </w:p>
    <w:p w:rsidR="00A83E3D" w:rsidRDefault="00A83E3D" w:rsidP="00A83E3D">
      <w:pPr>
        <w:ind w:left="2160"/>
        <w:jc w:val="both"/>
        <w:rPr>
          <w:sz w:val="24"/>
          <w:lang w:eastAsia="ja-JP"/>
        </w:rPr>
      </w:pPr>
    </w:p>
    <w:p w:rsidR="00A83E3D" w:rsidRDefault="00A83E3D" w:rsidP="00A83E3D">
      <w:pPr>
        <w:numPr>
          <w:ilvl w:val="4"/>
          <w:numId w:val="1"/>
        </w:numPr>
        <w:ind w:left="1440" w:firstLine="720"/>
        <w:jc w:val="both"/>
        <w:rPr>
          <w:sz w:val="24"/>
          <w:lang w:eastAsia="ja-JP"/>
        </w:rPr>
      </w:pPr>
      <w:r w:rsidRPr="00A542F9">
        <w:rPr>
          <w:sz w:val="24"/>
          <w:lang w:eastAsia="ja-JP"/>
        </w:rPr>
        <w:t>a statement of stipulations and objections to the opposing party’</w:t>
      </w:r>
      <w:r>
        <w:rPr>
          <w:sz w:val="24"/>
          <w:lang w:eastAsia="ja-JP"/>
        </w:rPr>
        <w:t>s trial exhibits.</w:t>
      </w:r>
    </w:p>
    <w:p w:rsidR="00A83E3D" w:rsidRPr="00A542F9" w:rsidRDefault="00A83E3D" w:rsidP="00A83E3D">
      <w:pPr>
        <w:ind w:left="2160"/>
        <w:jc w:val="both"/>
        <w:rPr>
          <w:sz w:val="24"/>
          <w:lang w:eastAsia="ja-JP"/>
        </w:rPr>
      </w:pPr>
    </w:p>
    <w:p w:rsidR="00A83E3D" w:rsidRDefault="00A83E3D" w:rsidP="00A83E3D">
      <w:pPr>
        <w:ind w:left="1440" w:firstLine="720"/>
        <w:jc w:val="both"/>
        <w:rPr>
          <w:sz w:val="24"/>
          <w:lang w:eastAsia="ja-JP"/>
        </w:rPr>
      </w:pPr>
      <w:r>
        <w:rPr>
          <w:sz w:val="24"/>
          <w:lang w:eastAsia="ja-JP"/>
        </w:rPr>
        <w:t>The S</w:t>
      </w:r>
      <w:r w:rsidRPr="00A542F9">
        <w:rPr>
          <w:sz w:val="24"/>
          <w:lang w:eastAsia="ja-JP"/>
        </w:rPr>
        <w:t>tatement</w:t>
      </w:r>
      <w:r>
        <w:rPr>
          <w:sz w:val="24"/>
          <w:lang w:eastAsia="ja-JP"/>
        </w:rPr>
        <w:t xml:space="preserve"> </w:t>
      </w:r>
      <w:r w:rsidRPr="00A542F9">
        <w:rPr>
          <w:sz w:val="24"/>
          <w:lang w:eastAsia="ja-JP"/>
        </w:rPr>
        <w:t xml:space="preserve">shall set forth as to </w:t>
      </w:r>
      <w:r w:rsidRPr="0021534D">
        <w:rPr>
          <w:b/>
          <w:sz w:val="24"/>
          <w:lang w:eastAsia="ja-JP"/>
        </w:rPr>
        <w:t>each</w:t>
      </w:r>
      <w:r w:rsidRPr="00A542F9">
        <w:rPr>
          <w:sz w:val="24"/>
          <w:lang w:eastAsia="ja-JP"/>
        </w:rPr>
        <w:t xml:space="preserve"> of the opposing party’s exhibits which exhibits the party stipulates as to its admissibility or objects as to its admissibility.  Each objection asserted shall state the grounds for the objection in reasonable detail and cite to case law, if necessary.  At the commencement of trial, all exhibits to which there are no objections and the Court approves shall be admitted into evidence.  Any exhibit to which there is an objection may be offered into evidence by the party seeking its admission during the trial and at that time the </w:t>
      </w:r>
      <w:r w:rsidRPr="00A542F9">
        <w:rPr>
          <w:sz w:val="24"/>
          <w:lang w:eastAsia="ja-JP"/>
        </w:rPr>
        <w:lastRenderedPageBreak/>
        <w:t xml:space="preserve">Court will rule on the admissibility of the evidence.  Failure to comply with the requirements set forth in this paragraph </w:t>
      </w:r>
      <w:r>
        <w:rPr>
          <w:sz w:val="24"/>
          <w:lang w:eastAsia="ja-JP"/>
        </w:rPr>
        <w:t xml:space="preserve">4. </w:t>
      </w:r>
      <w:r w:rsidRPr="00A542F9">
        <w:rPr>
          <w:sz w:val="24"/>
          <w:lang w:eastAsia="ja-JP"/>
        </w:rPr>
        <w:t>may result in the exclusion of evidence at trial, removal of the case from the trial docket, or other appropriate sanction.</w:t>
      </w:r>
    </w:p>
    <w:p w:rsidR="00A83E3D" w:rsidRDefault="00A83E3D" w:rsidP="00A83E3D">
      <w:pPr>
        <w:ind w:left="1440" w:firstLine="720"/>
        <w:jc w:val="both"/>
        <w:rPr>
          <w:sz w:val="24"/>
          <w:lang w:eastAsia="ja-JP"/>
        </w:rPr>
      </w:pPr>
    </w:p>
    <w:p w:rsidR="00A83E3D" w:rsidRDefault="00A83E3D" w:rsidP="00A83E3D">
      <w:pPr>
        <w:ind w:left="1440" w:firstLine="720"/>
        <w:jc w:val="both"/>
        <w:rPr>
          <w:sz w:val="24"/>
          <w:lang w:eastAsia="ja-JP"/>
        </w:rPr>
      </w:pPr>
      <w:r>
        <w:rPr>
          <w:sz w:val="24"/>
          <w:lang w:eastAsia="ja-JP"/>
        </w:rPr>
        <w:t>Further, impeachment materials such as trial transcripts, deposition testimony, and learned treatises must be shown to the Court prior to use in the examination of a trial witness.</w:t>
      </w:r>
    </w:p>
    <w:p w:rsidR="007C415B" w:rsidRPr="00A83E3D" w:rsidRDefault="007C415B" w:rsidP="00A83E3D">
      <w:pPr>
        <w:jc w:val="both"/>
        <w:rPr>
          <w:sz w:val="24"/>
          <w:lang w:eastAsia="ja-JP"/>
        </w:rPr>
      </w:pPr>
    </w:p>
    <w:p w:rsidR="007C415B" w:rsidRDefault="00A44D40" w:rsidP="00F425C2">
      <w:pPr>
        <w:numPr>
          <w:ilvl w:val="1"/>
          <w:numId w:val="1"/>
        </w:numPr>
        <w:ind w:left="720" w:firstLine="720"/>
        <w:jc w:val="both"/>
        <w:rPr>
          <w:sz w:val="24"/>
          <w:lang w:eastAsia="ja-JP"/>
        </w:rPr>
      </w:pPr>
      <w:r>
        <w:rPr>
          <w:b/>
          <w:sz w:val="24"/>
          <w:lang w:eastAsia="ja-JP"/>
        </w:rPr>
        <w:t xml:space="preserve">“Final” </w:t>
      </w:r>
      <w:r w:rsidR="007C415B" w:rsidRPr="00DE2216">
        <w:rPr>
          <w:b/>
          <w:sz w:val="24"/>
          <w:lang w:eastAsia="ja-JP"/>
        </w:rPr>
        <w:t>Witness List</w:t>
      </w:r>
      <w:r w:rsidR="007C415B">
        <w:rPr>
          <w:sz w:val="24"/>
          <w:lang w:eastAsia="ja-JP"/>
        </w:rPr>
        <w:t xml:space="preserve">.  </w:t>
      </w:r>
      <w:r w:rsidR="00E364FF" w:rsidRPr="00E364FF">
        <w:rPr>
          <w:b/>
          <w:sz w:val="24"/>
          <w:lang w:eastAsia="ja-JP"/>
        </w:rPr>
        <w:t>No later than three business days</w:t>
      </w:r>
      <w:r w:rsidR="00E364FF">
        <w:rPr>
          <w:sz w:val="24"/>
          <w:lang w:eastAsia="ja-JP"/>
        </w:rPr>
        <w:t xml:space="preserve"> </w:t>
      </w:r>
      <w:r w:rsidR="009D3B60" w:rsidRPr="00E364FF">
        <w:rPr>
          <w:b/>
          <w:sz w:val="24"/>
          <w:lang w:eastAsia="ja-JP"/>
        </w:rPr>
        <w:t>before</w:t>
      </w:r>
      <w:r w:rsidR="009D3B60">
        <w:rPr>
          <w:sz w:val="24"/>
          <w:lang w:eastAsia="ja-JP"/>
        </w:rPr>
        <w:t xml:space="preserve"> commencement of trial</w:t>
      </w:r>
      <w:r w:rsidR="007C415B">
        <w:rPr>
          <w:sz w:val="24"/>
          <w:lang w:eastAsia="ja-JP"/>
        </w:rPr>
        <w:t xml:space="preserve">, each attorney shall </w:t>
      </w:r>
      <w:r w:rsidR="00B12774">
        <w:rPr>
          <w:sz w:val="24"/>
          <w:lang w:eastAsia="ja-JP"/>
        </w:rPr>
        <w:t xml:space="preserve">file </w:t>
      </w:r>
      <w:r w:rsidR="0026789C">
        <w:rPr>
          <w:sz w:val="24"/>
          <w:lang w:eastAsia="ja-JP"/>
        </w:rPr>
        <w:t xml:space="preserve">with the </w:t>
      </w:r>
      <w:r w:rsidR="00BD4951">
        <w:rPr>
          <w:sz w:val="24"/>
          <w:lang w:eastAsia="ja-JP"/>
        </w:rPr>
        <w:t>c</w:t>
      </w:r>
      <w:r w:rsidR="0026789C">
        <w:rPr>
          <w:sz w:val="24"/>
          <w:lang w:eastAsia="ja-JP"/>
        </w:rPr>
        <w:t xml:space="preserve">lerk </w:t>
      </w:r>
      <w:r w:rsidR="00B12774">
        <w:rPr>
          <w:sz w:val="24"/>
          <w:lang w:eastAsia="ja-JP"/>
        </w:rPr>
        <w:t xml:space="preserve">and </w:t>
      </w:r>
      <w:r w:rsidR="007C415B">
        <w:rPr>
          <w:sz w:val="24"/>
          <w:lang w:eastAsia="ja-JP"/>
        </w:rPr>
        <w:t xml:space="preserve">provide </w:t>
      </w:r>
      <w:r w:rsidR="00B12774">
        <w:rPr>
          <w:sz w:val="24"/>
          <w:lang w:eastAsia="ja-JP"/>
        </w:rPr>
        <w:t xml:space="preserve">to </w:t>
      </w:r>
      <w:r w:rsidR="007C415B">
        <w:rPr>
          <w:sz w:val="24"/>
          <w:lang w:eastAsia="ja-JP"/>
        </w:rPr>
        <w:t xml:space="preserve">the Court </w:t>
      </w:r>
      <w:r w:rsidR="00B12774">
        <w:rPr>
          <w:sz w:val="24"/>
          <w:lang w:eastAsia="ja-JP"/>
        </w:rPr>
        <w:t xml:space="preserve">a courtesy copy of </w:t>
      </w:r>
      <w:r w:rsidR="007C415B">
        <w:rPr>
          <w:sz w:val="24"/>
          <w:lang w:eastAsia="ja-JP"/>
        </w:rPr>
        <w:t xml:space="preserve">a list of all witnesses </w:t>
      </w:r>
      <w:r w:rsidRPr="00A44D40">
        <w:rPr>
          <w:b/>
          <w:sz w:val="24"/>
          <w:lang w:eastAsia="ja-JP"/>
        </w:rPr>
        <w:t xml:space="preserve">actually </w:t>
      </w:r>
      <w:r w:rsidR="007C415B" w:rsidRPr="00A44D40">
        <w:rPr>
          <w:b/>
          <w:sz w:val="24"/>
          <w:lang w:eastAsia="ja-JP"/>
        </w:rPr>
        <w:t>expected</w:t>
      </w:r>
      <w:r w:rsidR="007C415B">
        <w:rPr>
          <w:sz w:val="24"/>
          <w:lang w:eastAsia="ja-JP"/>
        </w:rPr>
        <w:t xml:space="preserve"> to be called, listing the full names of the witness and any professional designation applicable to that witness (e.g., M.D.). </w:t>
      </w:r>
      <w:r w:rsidR="005C4224">
        <w:rPr>
          <w:sz w:val="24"/>
          <w:lang w:eastAsia="ja-JP"/>
        </w:rPr>
        <w:t xml:space="preserve"> </w:t>
      </w:r>
      <w:r w:rsidR="007C415B">
        <w:rPr>
          <w:sz w:val="24"/>
          <w:lang w:eastAsia="ja-JP"/>
        </w:rPr>
        <w:t xml:space="preserve">The list </w:t>
      </w:r>
      <w:r w:rsidR="00B12774">
        <w:rPr>
          <w:sz w:val="24"/>
          <w:lang w:eastAsia="ja-JP"/>
        </w:rPr>
        <w:t xml:space="preserve">also </w:t>
      </w:r>
      <w:r w:rsidR="007C415B">
        <w:rPr>
          <w:sz w:val="24"/>
          <w:lang w:eastAsia="ja-JP"/>
        </w:rPr>
        <w:t>should</w:t>
      </w:r>
      <w:r w:rsidR="00B12774">
        <w:rPr>
          <w:sz w:val="24"/>
          <w:lang w:eastAsia="ja-JP"/>
        </w:rPr>
        <w:t xml:space="preserve"> include</w:t>
      </w:r>
      <w:r w:rsidR="007C415B">
        <w:rPr>
          <w:sz w:val="24"/>
          <w:lang w:eastAsia="ja-JP"/>
        </w:rPr>
        <w:t>, if necessary, a phonetic spelling of the name.</w:t>
      </w:r>
    </w:p>
    <w:p w:rsidR="00237911" w:rsidRPr="00E243D4" w:rsidRDefault="00237911" w:rsidP="00237911">
      <w:pPr>
        <w:ind w:left="1440"/>
        <w:jc w:val="both"/>
        <w:rPr>
          <w:sz w:val="24"/>
          <w:lang w:eastAsia="ja-JP"/>
        </w:rPr>
      </w:pPr>
    </w:p>
    <w:p w:rsidR="00237911" w:rsidRDefault="00237911" w:rsidP="00F425C2">
      <w:pPr>
        <w:numPr>
          <w:ilvl w:val="1"/>
          <w:numId w:val="1"/>
        </w:numPr>
        <w:ind w:left="720" w:firstLine="720"/>
        <w:jc w:val="both"/>
        <w:rPr>
          <w:sz w:val="24"/>
          <w:lang w:eastAsia="ja-JP"/>
        </w:rPr>
      </w:pPr>
      <w:r w:rsidRPr="00142F41">
        <w:rPr>
          <w:b/>
          <w:sz w:val="24"/>
          <w:lang w:eastAsia="ja-JP"/>
        </w:rPr>
        <w:t>Exhibit/Witness Exclusion</w:t>
      </w:r>
      <w:r>
        <w:rPr>
          <w:sz w:val="24"/>
          <w:lang w:eastAsia="ja-JP"/>
        </w:rPr>
        <w:t xml:space="preserve">.  Any witnesses or exhibits not listed in accordance with the pretrial order will not be allowed to testify or </w:t>
      </w:r>
      <w:r w:rsidR="00B12774">
        <w:rPr>
          <w:sz w:val="24"/>
          <w:lang w:eastAsia="ja-JP"/>
        </w:rPr>
        <w:t xml:space="preserve">be </w:t>
      </w:r>
      <w:r>
        <w:rPr>
          <w:sz w:val="24"/>
          <w:lang w:eastAsia="ja-JP"/>
        </w:rPr>
        <w:t xml:space="preserve">admitted absent extraordinary or compelling reasons outside the control of the attorneys for noncompliance with the pretrial order. </w:t>
      </w:r>
      <w:r w:rsidRPr="00B12774">
        <w:rPr>
          <w:i/>
          <w:sz w:val="24"/>
          <w:lang w:eastAsia="ja-JP"/>
        </w:rPr>
        <w:t>See Binger v. King Pest Control</w:t>
      </w:r>
      <w:r>
        <w:rPr>
          <w:sz w:val="24"/>
          <w:lang w:eastAsia="ja-JP"/>
        </w:rPr>
        <w:t xml:space="preserve">, 401 So. 2d 1310 (Fla. 1981); </w:t>
      </w:r>
      <w:r w:rsidRPr="00B12774">
        <w:rPr>
          <w:i/>
          <w:sz w:val="24"/>
          <w:lang w:eastAsia="ja-JP"/>
        </w:rPr>
        <w:t xml:space="preserve">Louisville Scrap Material </w:t>
      </w:r>
      <w:r w:rsidR="0026789C">
        <w:rPr>
          <w:i/>
          <w:sz w:val="24"/>
          <w:lang w:eastAsia="ja-JP"/>
        </w:rPr>
        <w:t>Co.,</w:t>
      </w:r>
      <w:r w:rsidRPr="00B12774">
        <w:rPr>
          <w:i/>
          <w:sz w:val="24"/>
          <w:lang w:eastAsia="ja-JP"/>
        </w:rPr>
        <w:t xml:space="preserve"> Inc., v. Petroleum Packers, Inc.</w:t>
      </w:r>
      <w:r>
        <w:rPr>
          <w:sz w:val="24"/>
          <w:lang w:eastAsia="ja-JP"/>
        </w:rPr>
        <w:t>, 566 So. 2d 277 (Fla. 2d DCA 1990.</w:t>
      </w:r>
    </w:p>
    <w:p w:rsidR="00E37A90" w:rsidRDefault="00E37A90" w:rsidP="00E37A90">
      <w:pPr>
        <w:pStyle w:val="ListParagraph"/>
        <w:rPr>
          <w:sz w:val="24"/>
          <w:lang w:eastAsia="ja-JP"/>
        </w:rPr>
      </w:pPr>
    </w:p>
    <w:p w:rsidR="00E37A90" w:rsidRDefault="00E37A90" w:rsidP="00F425C2">
      <w:pPr>
        <w:numPr>
          <w:ilvl w:val="1"/>
          <w:numId w:val="1"/>
        </w:numPr>
        <w:ind w:left="720" w:firstLine="720"/>
        <w:jc w:val="both"/>
        <w:rPr>
          <w:sz w:val="24"/>
          <w:lang w:eastAsia="ja-JP"/>
        </w:rPr>
      </w:pPr>
      <w:r w:rsidRPr="00142F41">
        <w:rPr>
          <w:b/>
          <w:sz w:val="24"/>
          <w:lang w:eastAsia="ja-JP"/>
        </w:rPr>
        <w:t>Exchange of Lists</w:t>
      </w:r>
      <w:r w:rsidRPr="00E37A90">
        <w:rPr>
          <w:sz w:val="24"/>
          <w:lang w:eastAsia="ja-JP"/>
        </w:rPr>
        <w:t xml:space="preserve">.  </w:t>
      </w:r>
      <w:r w:rsidR="00E364FF" w:rsidRPr="00E364FF">
        <w:rPr>
          <w:b/>
          <w:sz w:val="24"/>
          <w:lang w:eastAsia="ja-JP"/>
        </w:rPr>
        <w:t xml:space="preserve">No later than </w:t>
      </w:r>
      <w:r w:rsidR="00824932">
        <w:rPr>
          <w:b/>
          <w:sz w:val="24"/>
          <w:lang w:eastAsia="ja-JP"/>
        </w:rPr>
        <w:t>five</w:t>
      </w:r>
      <w:r w:rsidR="00E364FF" w:rsidRPr="00E364FF">
        <w:rPr>
          <w:b/>
          <w:sz w:val="24"/>
          <w:lang w:eastAsia="ja-JP"/>
        </w:rPr>
        <w:t xml:space="preserve"> </w:t>
      </w:r>
      <w:r w:rsidR="00824932">
        <w:rPr>
          <w:b/>
          <w:sz w:val="24"/>
          <w:lang w:eastAsia="ja-JP"/>
        </w:rPr>
        <w:t xml:space="preserve">business </w:t>
      </w:r>
      <w:r w:rsidR="00E364FF" w:rsidRPr="00E364FF">
        <w:rPr>
          <w:b/>
          <w:sz w:val="24"/>
          <w:lang w:eastAsia="ja-JP"/>
        </w:rPr>
        <w:t>days</w:t>
      </w:r>
      <w:r w:rsidR="00E364FF" w:rsidRPr="00E37A90">
        <w:rPr>
          <w:sz w:val="24"/>
          <w:lang w:eastAsia="ja-JP"/>
        </w:rPr>
        <w:t xml:space="preserve"> </w:t>
      </w:r>
      <w:r w:rsidRPr="00E364FF">
        <w:rPr>
          <w:b/>
          <w:sz w:val="24"/>
          <w:lang w:eastAsia="ja-JP"/>
        </w:rPr>
        <w:t>before</w:t>
      </w:r>
      <w:r w:rsidRPr="00E37A90">
        <w:rPr>
          <w:sz w:val="24"/>
          <w:lang w:eastAsia="ja-JP"/>
        </w:rPr>
        <w:t xml:space="preserve"> commencement of trial, </w:t>
      </w:r>
      <w:r w:rsidR="00B12774">
        <w:rPr>
          <w:sz w:val="24"/>
          <w:lang w:eastAsia="ja-JP"/>
        </w:rPr>
        <w:t xml:space="preserve">the </w:t>
      </w:r>
      <w:r w:rsidR="00824932">
        <w:rPr>
          <w:sz w:val="24"/>
          <w:lang w:eastAsia="ja-JP"/>
        </w:rPr>
        <w:t>attorneys</w:t>
      </w:r>
      <w:r w:rsidRPr="00E37A90">
        <w:rPr>
          <w:sz w:val="24"/>
          <w:lang w:eastAsia="ja-JP"/>
        </w:rPr>
        <w:t xml:space="preserve"> shall:</w:t>
      </w:r>
    </w:p>
    <w:p w:rsidR="00D65606" w:rsidRDefault="00D65606" w:rsidP="00D65606">
      <w:pPr>
        <w:ind w:left="1440"/>
        <w:jc w:val="both"/>
        <w:rPr>
          <w:sz w:val="24"/>
          <w:lang w:eastAsia="ja-JP"/>
        </w:rPr>
      </w:pPr>
    </w:p>
    <w:p w:rsidR="00E37A90" w:rsidRDefault="00E37A90" w:rsidP="000C0BCE">
      <w:pPr>
        <w:ind w:left="1440" w:firstLine="720"/>
        <w:jc w:val="both"/>
        <w:rPr>
          <w:sz w:val="24"/>
          <w:lang w:eastAsia="ja-JP"/>
        </w:rPr>
      </w:pPr>
      <w:r w:rsidRPr="00E37A90">
        <w:rPr>
          <w:sz w:val="24"/>
          <w:lang w:eastAsia="ja-JP"/>
        </w:rPr>
        <w:t>(1)</w:t>
      </w:r>
      <w:r w:rsidRPr="00E37A90">
        <w:rPr>
          <w:sz w:val="24"/>
          <w:lang w:eastAsia="ja-JP"/>
        </w:rPr>
        <w:tab/>
        <w:t xml:space="preserve">Exchange </w:t>
      </w:r>
      <w:r w:rsidR="00B12774">
        <w:rPr>
          <w:sz w:val="24"/>
          <w:lang w:eastAsia="ja-JP"/>
        </w:rPr>
        <w:t xml:space="preserve">their respective </w:t>
      </w:r>
      <w:r w:rsidRPr="00E37A90">
        <w:rPr>
          <w:sz w:val="24"/>
          <w:lang w:eastAsia="ja-JP"/>
        </w:rPr>
        <w:t>trial exhibit list</w:t>
      </w:r>
      <w:r w:rsidR="00824932">
        <w:rPr>
          <w:sz w:val="24"/>
          <w:lang w:eastAsia="ja-JP"/>
        </w:rPr>
        <w:t>s referenced above in subparagraph a.</w:t>
      </w:r>
      <w:r w:rsidRPr="00E37A90">
        <w:rPr>
          <w:sz w:val="24"/>
          <w:lang w:eastAsia="ja-JP"/>
        </w:rPr>
        <w:t xml:space="preserve">, listing with specificity each exhibit </w:t>
      </w:r>
      <w:r w:rsidR="00A44D40">
        <w:rPr>
          <w:sz w:val="24"/>
          <w:lang w:eastAsia="ja-JP"/>
        </w:rPr>
        <w:t xml:space="preserve">actually </w:t>
      </w:r>
      <w:r w:rsidRPr="00E37A90">
        <w:rPr>
          <w:sz w:val="24"/>
          <w:lang w:eastAsia="ja-JP"/>
        </w:rPr>
        <w:t>expected to be offered into evidence, denoting which exhibits are composite exhibits.</w:t>
      </w:r>
    </w:p>
    <w:p w:rsidR="00D65606" w:rsidRPr="00E37A90" w:rsidRDefault="00D65606" w:rsidP="000C0BCE">
      <w:pPr>
        <w:ind w:left="1440" w:firstLine="720"/>
        <w:jc w:val="both"/>
        <w:rPr>
          <w:sz w:val="24"/>
          <w:lang w:eastAsia="ja-JP"/>
        </w:rPr>
      </w:pPr>
    </w:p>
    <w:p w:rsidR="00237911" w:rsidRDefault="00E37A90" w:rsidP="00B12774">
      <w:pPr>
        <w:ind w:left="1440" w:firstLine="720"/>
        <w:jc w:val="both"/>
        <w:rPr>
          <w:sz w:val="24"/>
          <w:lang w:eastAsia="ja-JP"/>
        </w:rPr>
      </w:pPr>
      <w:r w:rsidRPr="00E37A90">
        <w:rPr>
          <w:sz w:val="24"/>
          <w:lang w:eastAsia="ja-JP"/>
        </w:rPr>
        <w:t>(2)</w:t>
      </w:r>
      <w:r w:rsidRPr="00E37A90">
        <w:rPr>
          <w:sz w:val="24"/>
          <w:lang w:eastAsia="ja-JP"/>
        </w:rPr>
        <w:tab/>
        <w:t xml:space="preserve">Exchange </w:t>
      </w:r>
      <w:r w:rsidR="00B12774">
        <w:rPr>
          <w:sz w:val="24"/>
          <w:lang w:eastAsia="ja-JP"/>
        </w:rPr>
        <w:t xml:space="preserve">their respective </w:t>
      </w:r>
      <w:r w:rsidR="0026789C">
        <w:rPr>
          <w:sz w:val="24"/>
          <w:lang w:eastAsia="ja-JP"/>
        </w:rPr>
        <w:t>trial witness list</w:t>
      </w:r>
      <w:r w:rsidRPr="00E37A90">
        <w:rPr>
          <w:sz w:val="24"/>
          <w:lang w:eastAsia="ja-JP"/>
        </w:rPr>
        <w:t>, listing each witness the parties expect to</w:t>
      </w:r>
      <w:r w:rsidR="000C0BCE">
        <w:rPr>
          <w:sz w:val="24"/>
          <w:lang w:eastAsia="ja-JP"/>
        </w:rPr>
        <w:t xml:space="preserve"> </w:t>
      </w:r>
      <w:r w:rsidRPr="00824932">
        <w:rPr>
          <w:b/>
          <w:sz w:val="24"/>
          <w:lang w:eastAsia="ja-JP"/>
        </w:rPr>
        <w:t>actually</w:t>
      </w:r>
      <w:r w:rsidRPr="00E37A90">
        <w:rPr>
          <w:sz w:val="24"/>
          <w:lang w:eastAsia="ja-JP"/>
        </w:rPr>
        <w:t xml:space="preserve"> call to testify at trial, including any witness testifying via deposition.</w:t>
      </w:r>
    </w:p>
    <w:p w:rsidR="00237911" w:rsidRDefault="00237911" w:rsidP="00E243D4">
      <w:pPr>
        <w:ind w:left="1440"/>
        <w:jc w:val="both"/>
        <w:rPr>
          <w:sz w:val="24"/>
          <w:lang w:eastAsia="ja-JP"/>
        </w:rPr>
      </w:pPr>
    </w:p>
    <w:p w:rsidR="007C415B" w:rsidRPr="00E243D4" w:rsidRDefault="007C415B" w:rsidP="00F425C2">
      <w:pPr>
        <w:numPr>
          <w:ilvl w:val="1"/>
          <w:numId w:val="1"/>
        </w:numPr>
        <w:ind w:left="720" w:firstLine="720"/>
        <w:jc w:val="both"/>
        <w:rPr>
          <w:sz w:val="24"/>
          <w:lang w:eastAsia="ja-JP"/>
        </w:rPr>
      </w:pPr>
      <w:r w:rsidRPr="00142F41">
        <w:rPr>
          <w:b/>
          <w:sz w:val="24"/>
          <w:lang w:eastAsia="ja-JP"/>
        </w:rPr>
        <w:t>Review of Exhibits</w:t>
      </w:r>
      <w:r w:rsidR="00142F41">
        <w:rPr>
          <w:sz w:val="24"/>
          <w:lang w:eastAsia="ja-JP"/>
        </w:rPr>
        <w:t xml:space="preserve">.  </w:t>
      </w:r>
      <w:r w:rsidR="00B12774" w:rsidRPr="00E364FF">
        <w:rPr>
          <w:b/>
          <w:sz w:val="24"/>
          <w:lang w:eastAsia="ja-JP"/>
        </w:rPr>
        <w:t xml:space="preserve">No </w:t>
      </w:r>
      <w:r w:rsidRPr="00E364FF">
        <w:rPr>
          <w:b/>
          <w:sz w:val="24"/>
          <w:lang w:eastAsia="ja-JP"/>
        </w:rPr>
        <w:t xml:space="preserve">later than </w:t>
      </w:r>
      <w:r w:rsidR="00E364FF" w:rsidRPr="00E364FF">
        <w:rPr>
          <w:b/>
          <w:sz w:val="24"/>
          <w:lang w:eastAsia="ja-JP"/>
        </w:rPr>
        <w:t xml:space="preserve">five business days </w:t>
      </w:r>
      <w:r w:rsidRPr="00E364FF">
        <w:rPr>
          <w:b/>
          <w:sz w:val="24"/>
          <w:lang w:eastAsia="ja-JP"/>
        </w:rPr>
        <w:t>before</w:t>
      </w:r>
      <w:r w:rsidRPr="00E243D4">
        <w:rPr>
          <w:sz w:val="24"/>
          <w:lang w:eastAsia="ja-JP"/>
        </w:rPr>
        <w:t xml:space="preserve"> commencement of trial, the attorneys shall meet and review all proposed exhibits.</w:t>
      </w:r>
      <w:r w:rsidR="005A58A4">
        <w:rPr>
          <w:sz w:val="24"/>
          <w:lang w:eastAsia="ja-JP"/>
        </w:rPr>
        <w:t xml:space="preserve"> </w:t>
      </w:r>
      <w:r w:rsidRPr="00E243D4">
        <w:rPr>
          <w:sz w:val="24"/>
          <w:lang w:eastAsia="ja-JP"/>
        </w:rPr>
        <w:t xml:space="preserve"> Copies of any exhibits requested shall be furnished to opposing </w:t>
      </w:r>
      <w:r w:rsidR="00B12774">
        <w:rPr>
          <w:sz w:val="24"/>
          <w:lang w:eastAsia="ja-JP"/>
        </w:rPr>
        <w:t>c</w:t>
      </w:r>
      <w:r w:rsidRPr="00E243D4">
        <w:rPr>
          <w:sz w:val="24"/>
          <w:lang w:eastAsia="ja-JP"/>
        </w:rPr>
        <w:t>ounsel at that time</w:t>
      </w:r>
      <w:r w:rsidR="00B12774">
        <w:rPr>
          <w:sz w:val="24"/>
          <w:lang w:eastAsia="ja-JP"/>
        </w:rPr>
        <w:t>,</w:t>
      </w:r>
      <w:r w:rsidRPr="00E243D4">
        <w:rPr>
          <w:sz w:val="24"/>
          <w:lang w:eastAsia="ja-JP"/>
        </w:rPr>
        <w:t xml:space="preserve"> if not previously furnished. </w:t>
      </w:r>
      <w:r w:rsidR="00E017DC">
        <w:rPr>
          <w:sz w:val="24"/>
          <w:lang w:eastAsia="ja-JP"/>
        </w:rPr>
        <w:t xml:space="preserve"> </w:t>
      </w:r>
      <w:r w:rsidR="00B12774">
        <w:rPr>
          <w:sz w:val="24"/>
          <w:lang w:eastAsia="ja-JP"/>
        </w:rPr>
        <w:t>D</w:t>
      </w:r>
      <w:r w:rsidRPr="00E243D4">
        <w:rPr>
          <w:sz w:val="24"/>
          <w:lang w:eastAsia="ja-JP"/>
        </w:rPr>
        <w:t>uring the presentation of evidence, it shall not be required</w:t>
      </w:r>
      <w:r w:rsidR="00B12774">
        <w:rPr>
          <w:sz w:val="24"/>
          <w:lang w:eastAsia="ja-JP"/>
        </w:rPr>
        <w:t>,</w:t>
      </w:r>
      <w:r w:rsidRPr="00E243D4">
        <w:rPr>
          <w:sz w:val="24"/>
          <w:lang w:eastAsia="ja-JP"/>
        </w:rPr>
        <w:t xml:space="preserve"> and </w:t>
      </w:r>
      <w:r w:rsidR="00B12774">
        <w:rPr>
          <w:sz w:val="24"/>
          <w:lang w:eastAsia="ja-JP"/>
        </w:rPr>
        <w:t>c</w:t>
      </w:r>
      <w:r w:rsidRPr="00E243D4">
        <w:rPr>
          <w:sz w:val="24"/>
          <w:lang w:eastAsia="ja-JP"/>
        </w:rPr>
        <w:t>ounsel</w:t>
      </w:r>
      <w:r w:rsidR="009E6403">
        <w:rPr>
          <w:sz w:val="24"/>
          <w:lang w:eastAsia="ja-JP"/>
        </w:rPr>
        <w:t xml:space="preserve"> for the parties</w:t>
      </w:r>
      <w:r w:rsidRPr="00E243D4">
        <w:rPr>
          <w:sz w:val="24"/>
          <w:lang w:eastAsia="ja-JP"/>
        </w:rPr>
        <w:t xml:space="preserve"> are directed not to</w:t>
      </w:r>
      <w:r w:rsidR="009E6403">
        <w:rPr>
          <w:sz w:val="24"/>
          <w:lang w:eastAsia="ja-JP"/>
        </w:rPr>
        <w:t>,</w:t>
      </w:r>
      <w:r w:rsidRPr="00E243D4">
        <w:rPr>
          <w:sz w:val="24"/>
          <w:lang w:eastAsia="ja-JP"/>
        </w:rPr>
        <w:t xml:space="preserve"> “tender</w:t>
      </w:r>
      <w:r w:rsidR="00B12774">
        <w:rPr>
          <w:sz w:val="24"/>
          <w:lang w:eastAsia="ja-JP"/>
        </w:rPr>
        <w:t>,</w:t>
      </w:r>
      <w:r w:rsidRPr="00E243D4">
        <w:rPr>
          <w:sz w:val="24"/>
          <w:lang w:eastAsia="ja-JP"/>
        </w:rPr>
        <w:t xml:space="preserve">” any exhibit to opposing </w:t>
      </w:r>
      <w:r w:rsidR="00B12774">
        <w:rPr>
          <w:sz w:val="24"/>
          <w:lang w:eastAsia="ja-JP"/>
        </w:rPr>
        <w:t>c</w:t>
      </w:r>
      <w:r w:rsidRPr="00E243D4">
        <w:rPr>
          <w:sz w:val="24"/>
          <w:lang w:eastAsia="ja-JP"/>
        </w:rPr>
        <w:t xml:space="preserve">ounsel for review. </w:t>
      </w:r>
      <w:r w:rsidR="009E6403">
        <w:rPr>
          <w:sz w:val="24"/>
          <w:lang w:eastAsia="ja-JP"/>
        </w:rPr>
        <w:t xml:space="preserve"> </w:t>
      </w:r>
      <w:r w:rsidRPr="00E243D4">
        <w:rPr>
          <w:sz w:val="24"/>
          <w:lang w:eastAsia="ja-JP"/>
        </w:rPr>
        <w:t>The exhibit shall be pre-marked for identification, tendered to the witness</w:t>
      </w:r>
      <w:r w:rsidR="00B12774">
        <w:rPr>
          <w:sz w:val="24"/>
          <w:lang w:eastAsia="ja-JP"/>
        </w:rPr>
        <w:t>,</w:t>
      </w:r>
      <w:r w:rsidRPr="00E243D4">
        <w:rPr>
          <w:sz w:val="24"/>
          <w:lang w:eastAsia="ja-JP"/>
        </w:rPr>
        <w:t xml:space="preserve"> and after sufficient evidentiary predicate has been established, tendered to the Court and offered into evidence.</w:t>
      </w:r>
    </w:p>
    <w:p w:rsidR="00FD38DB" w:rsidRDefault="00FD38DB" w:rsidP="00FD38DB">
      <w:pPr>
        <w:jc w:val="both"/>
        <w:rPr>
          <w:sz w:val="24"/>
          <w:lang w:eastAsia="ja-JP"/>
        </w:rPr>
      </w:pPr>
    </w:p>
    <w:p w:rsidR="00FD38DB" w:rsidRDefault="00FD38DB" w:rsidP="00FD38DB">
      <w:pPr>
        <w:numPr>
          <w:ilvl w:val="0"/>
          <w:numId w:val="1"/>
        </w:numPr>
        <w:ind w:left="0" w:firstLine="720"/>
        <w:jc w:val="both"/>
        <w:rPr>
          <w:sz w:val="24"/>
          <w:lang w:eastAsia="ja-JP"/>
        </w:rPr>
      </w:pPr>
      <w:r w:rsidRPr="009571B7">
        <w:rPr>
          <w:b/>
          <w:sz w:val="24"/>
          <w:u w:val="single"/>
          <w:lang w:eastAsia="ja-JP"/>
        </w:rPr>
        <w:t>Witness Examination</w:t>
      </w:r>
      <w:r w:rsidRPr="008D5144">
        <w:rPr>
          <w:sz w:val="24"/>
          <w:lang w:eastAsia="ja-JP"/>
        </w:rPr>
        <w:t>.  The examination of witnesses shall be limited to direct examination, cross-examination</w:t>
      </w:r>
      <w:r>
        <w:rPr>
          <w:sz w:val="24"/>
          <w:lang w:eastAsia="ja-JP"/>
        </w:rPr>
        <w:t>,</w:t>
      </w:r>
      <w:r w:rsidRPr="008D5144">
        <w:rPr>
          <w:sz w:val="24"/>
          <w:lang w:eastAsia="ja-JP"/>
        </w:rPr>
        <w:t xml:space="preserve"> and re-direct examination. </w:t>
      </w:r>
      <w:r w:rsidRPr="00937AE9">
        <w:rPr>
          <w:i/>
          <w:sz w:val="24"/>
          <w:lang w:eastAsia="ja-JP"/>
        </w:rPr>
        <w:t>See</w:t>
      </w:r>
      <w:r w:rsidRPr="00937AE9">
        <w:rPr>
          <w:sz w:val="24"/>
          <w:lang w:eastAsia="ja-JP"/>
        </w:rPr>
        <w:t xml:space="preserve"> </w:t>
      </w:r>
      <w:r w:rsidRPr="00237911">
        <w:rPr>
          <w:i/>
          <w:sz w:val="24"/>
          <w:lang w:eastAsia="ja-JP"/>
        </w:rPr>
        <w:t>Fla. Stat</w:t>
      </w:r>
      <w:r>
        <w:rPr>
          <w:sz w:val="24"/>
          <w:lang w:eastAsia="ja-JP"/>
        </w:rPr>
        <w:t>. §</w:t>
      </w:r>
      <w:r w:rsidRPr="00937AE9">
        <w:rPr>
          <w:sz w:val="24"/>
          <w:lang w:eastAsia="ja-JP"/>
        </w:rPr>
        <w:t xml:space="preserve"> 90.612</w:t>
      </w:r>
      <w:r>
        <w:rPr>
          <w:sz w:val="24"/>
          <w:lang w:eastAsia="ja-JP"/>
        </w:rPr>
        <w:t>.</w:t>
      </w:r>
    </w:p>
    <w:p w:rsidR="00FD38DB" w:rsidRDefault="00FD38DB" w:rsidP="00FD38DB">
      <w:pPr>
        <w:ind w:left="720"/>
        <w:jc w:val="both"/>
        <w:rPr>
          <w:sz w:val="24"/>
          <w:lang w:eastAsia="ja-JP"/>
        </w:rPr>
      </w:pPr>
    </w:p>
    <w:p w:rsidR="00FD38DB" w:rsidRDefault="00FD38DB" w:rsidP="00FD38DB">
      <w:pPr>
        <w:numPr>
          <w:ilvl w:val="0"/>
          <w:numId w:val="1"/>
        </w:numPr>
        <w:ind w:left="0" w:firstLine="720"/>
        <w:jc w:val="both"/>
        <w:rPr>
          <w:sz w:val="24"/>
          <w:lang w:eastAsia="ja-JP"/>
        </w:rPr>
      </w:pPr>
      <w:r w:rsidRPr="009571B7">
        <w:rPr>
          <w:b/>
          <w:sz w:val="24"/>
          <w:u w:val="single"/>
          <w:lang w:eastAsia="ja-JP"/>
        </w:rPr>
        <w:t>Evidentiary Objections</w:t>
      </w:r>
      <w:r w:rsidRPr="008D5144">
        <w:rPr>
          <w:sz w:val="24"/>
          <w:lang w:eastAsia="ja-JP"/>
        </w:rPr>
        <w:t>.  In making objections, the attorney making the objection shall announce the legal basis for the objection without further argument</w:t>
      </w:r>
      <w:r>
        <w:rPr>
          <w:sz w:val="24"/>
          <w:lang w:eastAsia="ja-JP"/>
        </w:rPr>
        <w:t xml:space="preserve"> (i.e., “Objection, </w:t>
      </w:r>
      <w:r>
        <w:rPr>
          <w:sz w:val="24"/>
          <w:lang w:eastAsia="ja-JP"/>
        </w:rPr>
        <w:lastRenderedPageBreak/>
        <w:t>hearsay.”)</w:t>
      </w:r>
      <w:r w:rsidRPr="008D5144">
        <w:rPr>
          <w:sz w:val="24"/>
          <w:lang w:eastAsia="ja-JP"/>
        </w:rPr>
        <w:t xml:space="preserve">.  The responding attorney shall respond accordingly, giving only the legal basis for opposing the objection. </w:t>
      </w:r>
      <w:r>
        <w:rPr>
          <w:sz w:val="24"/>
          <w:lang w:eastAsia="ja-JP"/>
        </w:rPr>
        <w:t xml:space="preserve"> </w:t>
      </w:r>
      <w:r w:rsidRPr="008D5144">
        <w:rPr>
          <w:sz w:val="24"/>
          <w:lang w:eastAsia="ja-JP"/>
        </w:rPr>
        <w:t xml:space="preserve">Neither attorney shall make any other argument or comment </w:t>
      </w:r>
      <w:r>
        <w:rPr>
          <w:sz w:val="24"/>
          <w:lang w:eastAsia="ja-JP"/>
        </w:rPr>
        <w:t xml:space="preserve">except </w:t>
      </w:r>
      <w:r w:rsidRPr="008D5144">
        <w:rPr>
          <w:sz w:val="24"/>
          <w:lang w:eastAsia="ja-JP"/>
        </w:rPr>
        <w:t>upon the Court's own directive.</w:t>
      </w:r>
    </w:p>
    <w:p w:rsidR="00FD38DB" w:rsidRPr="00FD38DB" w:rsidRDefault="00FD38DB" w:rsidP="00FD38DB">
      <w:pPr>
        <w:rPr>
          <w:sz w:val="24"/>
          <w:lang w:eastAsia="ja-JP"/>
        </w:rPr>
      </w:pPr>
    </w:p>
    <w:p w:rsidR="00E243D4" w:rsidRDefault="00791AE6" w:rsidP="00DF4BB6">
      <w:pPr>
        <w:numPr>
          <w:ilvl w:val="0"/>
          <w:numId w:val="1"/>
        </w:numPr>
        <w:ind w:left="0" w:firstLine="720"/>
        <w:jc w:val="both"/>
        <w:rPr>
          <w:sz w:val="24"/>
          <w:lang w:eastAsia="ja-JP"/>
        </w:rPr>
      </w:pPr>
      <w:r w:rsidRPr="009571B7">
        <w:rPr>
          <w:b/>
          <w:sz w:val="24"/>
          <w:u w:val="single"/>
          <w:lang w:eastAsia="ja-JP"/>
        </w:rPr>
        <w:t>Waiver of Records Custodians</w:t>
      </w:r>
      <w:r>
        <w:rPr>
          <w:sz w:val="24"/>
          <w:lang w:eastAsia="ja-JP"/>
        </w:rPr>
        <w:t>.</w:t>
      </w:r>
      <w:r w:rsidR="008778FE">
        <w:rPr>
          <w:sz w:val="24"/>
          <w:lang w:eastAsia="ja-JP"/>
        </w:rPr>
        <w:t xml:space="preserve">  </w:t>
      </w:r>
      <w:r w:rsidR="008778FE" w:rsidRPr="008778FE">
        <w:rPr>
          <w:sz w:val="24"/>
          <w:lang w:eastAsia="ja-JP"/>
        </w:rPr>
        <w:t>If the parties have stipulated to waive records custodians, business records admissible under the business records exception to the hearsay rule (</w:t>
      </w:r>
      <w:r w:rsidR="00DF4BB6" w:rsidRPr="00DF4BB6">
        <w:rPr>
          <w:i/>
          <w:sz w:val="24"/>
          <w:lang w:eastAsia="ja-JP"/>
        </w:rPr>
        <w:t>Fla. Stat</w:t>
      </w:r>
      <w:r w:rsidR="008778FE" w:rsidRPr="008778FE">
        <w:rPr>
          <w:sz w:val="24"/>
          <w:lang w:eastAsia="ja-JP"/>
        </w:rPr>
        <w:t>.</w:t>
      </w:r>
      <w:r w:rsidR="00DF4BB6">
        <w:rPr>
          <w:sz w:val="24"/>
          <w:lang w:eastAsia="ja-JP"/>
        </w:rPr>
        <w:t xml:space="preserve"> </w:t>
      </w:r>
      <w:r w:rsidR="00DF4BB6" w:rsidRPr="00DF4BB6">
        <w:rPr>
          <w:sz w:val="24"/>
          <w:lang w:eastAsia="ja-JP"/>
        </w:rPr>
        <w:t>§</w:t>
      </w:r>
      <w:r w:rsidR="008778FE" w:rsidRPr="008778FE">
        <w:rPr>
          <w:sz w:val="24"/>
          <w:lang w:eastAsia="ja-JP"/>
        </w:rPr>
        <w:t xml:space="preserve"> 90.803(6)) will be admissible without the necessity of calling a qualified witness, absent a</w:t>
      </w:r>
      <w:r w:rsidR="00DF4BB6">
        <w:rPr>
          <w:sz w:val="24"/>
          <w:lang w:eastAsia="ja-JP"/>
        </w:rPr>
        <w:t xml:space="preserve"> </w:t>
      </w:r>
      <w:r w:rsidR="008778FE" w:rsidRPr="008778FE">
        <w:rPr>
          <w:sz w:val="24"/>
          <w:lang w:eastAsia="ja-JP"/>
        </w:rPr>
        <w:t xml:space="preserve">showing that the records are otherwise untrustworthy. </w:t>
      </w:r>
      <w:r w:rsidR="008778FE" w:rsidRPr="00DF4BB6">
        <w:rPr>
          <w:i/>
          <w:sz w:val="24"/>
          <w:lang w:eastAsia="ja-JP"/>
        </w:rPr>
        <w:t>See Heckford v. F.D.O.C</w:t>
      </w:r>
      <w:r w:rsidR="008778FE" w:rsidRPr="008778FE">
        <w:rPr>
          <w:sz w:val="24"/>
          <w:lang w:eastAsia="ja-JP"/>
        </w:rPr>
        <w:t>., 699</w:t>
      </w:r>
      <w:r w:rsidR="0026789C">
        <w:rPr>
          <w:sz w:val="24"/>
          <w:lang w:eastAsia="ja-JP"/>
        </w:rPr>
        <w:t xml:space="preserve"> So. 2d 247 (Fla. 1st DCA 1997)</w:t>
      </w:r>
      <w:r w:rsidR="008778FE" w:rsidRPr="008778FE">
        <w:rPr>
          <w:sz w:val="24"/>
          <w:lang w:eastAsia="ja-JP"/>
        </w:rPr>
        <w:t xml:space="preserve">. </w:t>
      </w:r>
      <w:r w:rsidR="008778FE" w:rsidRPr="00DF4BB6">
        <w:rPr>
          <w:i/>
          <w:sz w:val="24"/>
          <w:lang w:eastAsia="ja-JP"/>
        </w:rPr>
        <w:t>See also</w:t>
      </w:r>
      <w:r w:rsidR="0026789C">
        <w:rPr>
          <w:i/>
          <w:sz w:val="24"/>
          <w:lang w:eastAsia="ja-JP"/>
        </w:rPr>
        <w:t>,</w:t>
      </w:r>
      <w:r w:rsidR="008778FE" w:rsidRPr="00DF4BB6">
        <w:rPr>
          <w:i/>
          <w:sz w:val="24"/>
          <w:lang w:eastAsia="ja-JP"/>
        </w:rPr>
        <w:t xml:space="preserve"> Love v. Garcia</w:t>
      </w:r>
      <w:r w:rsidR="008778FE" w:rsidRPr="008778FE">
        <w:rPr>
          <w:sz w:val="24"/>
          <w:lang w:eastAsia="ja-JP"/>
        </w:rPr>
        <w:t>, 634 So. 2d 158 (Fla. 1994).</w:t>
      </w:r>
    </w:p>
    <w:p w:rsidR="008778FE" w:rsidRPr="008778FE" w:rsidRDefault="008778FE" w:rsidP="008778FE">
      <w:pPr>
        <w:ind w:left="720"/>
        <w:jc w:val="both"/>
        <w:rPr>
          <w:sz w:val="24"/>
          <w:lang w:eastAsia="ja-JP"/>
        </w:rPr>
      </w:pPr>
    </w:p>
    <w:p w:rsidR="00E243D4" w:rsidRDefault="00F94053" w:rsidP="00870A8B">
      <w:pPr>
        <w:numPr>
          <w:ilvl w:val="0"/>
          <w:numId w:val="1"/>
        </w:numPr>
        <w:ind w:left="0" w:firstLine="720"/>
        <w:jc w:val="both"/>
        <w:rPr>
          <w:sz w:val="24"/>
          <w:lang w:eastAsia="ja-JP"/>
        </w:rPr>
      </w:pPr>
      <w:r w:rsidRPr="009571B7">
        <w:rPr>
          <w:b/>
          <w:sz w:val="24"/>
          <w:u w:val="single"/>
          <w:lang w:eastAsia="ja-JP"/>
        </w:rPr>
        <w:t>Deposition Transcript Review</w:t>
      </w:r>
      <w:r>
        <w:rPr>
          <w:sz w:val="24"/>
          <w:lang w:eastAsia="ja-JP"/>
        </w:rPr>
        <w:t>.</w:t>
      </w:r>
      <w:r w:rsidR="008778FE">
        <w:rPr>
          <w:sz w:val="24"/>
          <w:lang w:eastAsia="ja-JP"/>
        </w:rPr>
        <w:t xml:space="preserve">  </w:t>
      </w:r>
      <w:r w:rsidR="008778FE" w:rsidRPr="008778FE">
        <w:rPr>
          <w:sz w:val="24"/>
          <w:lang w:eastAsia="ja-JP"/>
        </w:rPr>
        <w:t xml:space="preserve">If any party intends to publish to the </w:t>
      </w:r>
      <w:r w:rsidR="00285C2F">
        <w:rPr>
          <w:sz w:val="24"/>
          <w:lang w:eastAsia="ja-JP"/>
        </w:rPr>
        <w:t xml:space="preserve">Court </w:t>
      </w:r>
      <w:r w:rsidR="008778FE" w:rsidRPr="008778FE">
        <w:rPr>
          <w:sz w:val="24"/>
          <w:lang w:eastAsia="ja-JP"/>
        </w:rPr>
        <w:t xml:space="preserve">all or any portion of a deposition transcript, </w:t>
      </w:r>
      <w:r w:rsidR="00DF4BB6">
        <w:rPr>
          <w:sz w:val="24"/>
          <w:lang w:eastAsia="ja-JP"/>
        </w:rPr>
        <w:t xml:space="preserve">the </w:t>
      </w:r>
      <w:r w:rsidR="008778FE" w:rsidRPr="008778FE">
        <w:rPr>
          <w:sz w:val="24"/>
          <w:lang w:eastAsia="ja-JP"/>
        </w:rPr>
        <w:t xml:space="preserve">party shall </w:t>
      </w:r>
      <w:r w:rsidR="00285C2F">
        <w:rPr>
          <w:sz w:val="24"/>
          <w:lang w:eastAsia="ja-JP"/>
        </w:rPr>
        <w:t>deliver</w:t>
      </w:r>
      <w:r w:rsidR="008778FE" w:rsidRPr="008778FE">
        <w:rPr>
          <w:sz w:val="24"/>
          <w:lang w:eastAsia="ja-JP"/>
        </w:rPr>
        <w:t xml:space="preserve"> to o</w:t>
      </w:r>
      <w:r w:rsidR="00E364FF">
        <w:rPr>
          <w:sz w:val="24"/>
          <w:lang w:eastAsia="ja-JP"/>
        </w:rPr>
        <w:t>pposing c</w:t>
      </w:r>
      <w:r w:rsidR="008778FE" w:rsidRPr="008778FE">
        <w:rPr>
          <w:sz w:val="24"/>
          <w:lang w:eastAsia="ja-JP"/>
        </w:rPr>
        <w:t xml:space="preserve">ounsel </w:t>
      </w:r>
      <w:r w:rsidR="005A58A4" w:rsidRPr="00E364FF">
        <w:rPr>
          <w:b/>
          <w:sz w:val="24"/>
          <w:lang w:eastAsia="ja-JP"/>
        </w:rPr>
        <w:t xml:space="preserve">no later than </w:t>
      </w:r>
      <w:r w:rsidR="005A58A4">
        <w:rPr>
          <w:b/>
          <w:sz w:val="24"/>
          <w:lang w:eastAsia="ja-JP"/>
        </w:rPr>
        <w:t>ten</w:t>
      </w:r>
      <w:r w:rsidR="005A58A4" w:rsidRPr="00E364FF">
        <w:rPr>
          <w:b/>
          <w:sz w:val="24"/>
          <w:lang w:eastAsia="ja-JP"/>
        </w:rPr>
        <w:t xml:space="preserve"> days before</w:t>
      </w:r>
      <w:r w:rsidR="005A58A4">
        <w:rPr>
          <w:sz w:val="24"/>
          <w:lang w:eastAsia="ja-JP"/>
        </w:rPr>
        <w:t xml:space="preserve"> the </w:t>
      </w:r>
      <w:r w:rsidR="005A58A4" w:rsidRPr="00E364FF">
        <w:rPr>
          <w:sz w:val="24"/>
          <w:lang w:eastAsia="ja-JP"/>
        </w:rPr>
        <w:t>commencement of trial</w:t>
      </w:r>
      <w:r w:rsidR="00285C2F">
        <w:rPr>
          <w:sz w:val="24"/>
          <w:lang w:eastAsia="ja-JP"/>
        </w:rPr>
        <w:t xml:space="preserve"> </w:t>
      </w:r>
      <w:r w:rsidR="008778FE" w:rsidRPr="008778FE">
        <w:rPr>
          <w:sz w:val="24"/>
          <w:lang w:eastAsia="ja-JP"/>
        </w:rPr>
        <w:t>a page and line reference of all testimony intended to be published.  Any an</w:t>
      </w:r>
      <w:r w:rsidR="00E364FF">
        <w:rPr>
          <w:sz w:val="24"/>
          <w:lang w:eastAsia="ja-JP"/>
        </w:rPr>
        <w:t>d all objections to any portions</w:t>
      </w:r>
      <w:r w:rsidR="008778FE" w:rsidRPr="008778FE">
        <w:rPr>
          <w:sz w:val="24"/>
          <w:lang w:eastAsia="ja-JP"/>
        </w:rPr>
        <w:t xml:space="preserve"> of deposition transcripts to be offered into evidence shall be made known to the </w:t>
      </w:r>
      <w:r w:rsidR="00DF4BB6">
        <w:rPr>
          <w:sz w:val="24"/>
          <w:lang w:eastAsia="ja-JP"/>
        </w:rPr>
        <w:t>C</w:t>
      </w:r>
      <w:r w:rsidR="008778FE" w:rsidRPr="008778FE">
        <w:rPr>
          <w:sz w:val="24"/>
          <w:lang w:eastAsia="ja-JP"/>
        </w:rPr>
        <w:t xml:space="preserve">ourt and shall be considered by the Court </w:t>
      </w:r>
      <w:r w:rsidR="008778FE" w:rsidRPr="00E364FF">
        <w:rPr>
          <w:b/>
          <w:sz w:val="24"/>
          <w:lang w:eastAsia="ja-JP"/>
        </w:rPr>
        <w:t xml:space="preserve">no later than </w:t>
      </w:r>
      <w:r w:rsidR="00E364FF" w:rsidRPr="00E364FF">
        <w:rPr>
          <w:b/>
          <w:sz w:val="24"/>
          <w:lang w:eastAsia="ja-JP"/>
        </w:rPr>
        <w:t xml:space="preserve">five days </w:t>
      </w:r>
      <w:r w:rsidR="00C37463" w:rsidRPr="00E364FF">
        <w:rPr>
          <w:b/>
          <w:sz w:val="24"/>
          <w:lang w:eastAsia="ja-JP"/>
        </w:rPr>
        <w:t>before</w:t>
      </w:r>
      <w:r w:rsidR="00C37463">
        <w:rPr>
          <w:sz w:val="24"/>
          <w:lang w:eastAsia="ja-JP"/>
        </w:rPr>
        <w:t xml:space="preserve"> the</w:t>
      </w:r>
      <w:r w:rsidR="00285C2F">
        <w:rPr>
          <w:sz w:val="24"/>
          <w:lang w:eastAsia="ja-JP"/>
        </w:rPr>
        <w:t xml:space="preserve"> </w:t>
      </w:r>
      <w:r w:rsidR="00285C2F" w:rsidRPr="00E364FF">
        <w:rPr>
          <w:sz w:val="24"/>
          <w:lang w:eastAsia="ja-JP"/>
        </w:rPr>
        <w:t>commencement of trial</w:t>
      </w:r>
      <w:r w:rsidR="008778FE" w:rsidRPr="008778FE">
        <w:rPr>
          <w:sz w:val="24"/>
          <w:lang w:eastAsia="ja-JP"/>
        </w:rPr>
        <w:t>.</w:t>
      </w:r>
    </w:p>
    <w:p w:rsidR="00C37463" w:rsidRDefault="00C37463" w:rsidP="00C37463">
      <w:pPr>
        <w:pStyle w:val="ListParagraph"/>
        <w:rPr>
          <w:sz w:val="24"/>
          <w:lang w:eastAsia="ja-JP"/>
        </w:rPr>
      </w:pPr>
    </w:p>
    <w:p w:rsidR="00C37463" w:rsidRDefault="00C37463" w:rsidP="00C37463">
      <w:pPr>
        <w:numPr>
          <w:ilvl w:val="0"/>
          <w:numId w:val="1"/>
        </w:numPr>
        <w:ind w:left="0" w:firstLine="720"/>
        <w:jc w:val="both"/>
        <w:rPr>
          <w:sz w:val="24"/>
          <w:lang w:eastAsia="ja-JP"/>
        </w:rPr>
      </w:pPr>
      <w:r w:rsidRPr="00795EFE">
        <w:rPr>
          <w:b/>
          <w:sz w:val="24"/>
          <w:u w:val="single"/>
          <w:lang w:eastAsia="ja-JP"/>
        </w:rPr>
        <w:t>No Improper Impeachment</w:t>
      </w:r>
      <w:r>
        <w:rPr>
          <w:sz w:val="24"/>
          <w:lang w:eastAsia="ja-JP"/>
        </w:rPr>
        <w:t xml:space="preserve">.  When impeaching a witness with a prior recorded statement, regardless of form, counsel must first show the statement to opposing counsel, lay a proper foundation for the prior recorded statement and provide the Court and the witness with a copy of the prior recorded statement prior to proceeding with impeachment. </w:t>
      </w:r>
      <w:r w:rsidRPr="00D764A5">
        <w:rPr>
          <w:i/>
          <w:sz w:val="24"/>
          <w:lang w:eastAsia="ja-JP"/>
        </w:rPr>
        <w:t>Cf.</w:t>
      </w:r>
      <w:r>
        <w:rPr>
          <w:sz w:val="24"/>
          <w:lang w:eastAsia="ja-JP"/>
        </w:rPr>
        <w:t xml:space="preserve"> C. Ehhardt, </w:t>
      </w:r>
      <w:r w:rsidRPr="000255C3">
        <w:rPr>
          <w:i/>
          <w:sz w:val="24"/>
          <w:lang w:eastAsia="ja-JP"/>
        </w:rPr>
        <w:t>Florida Evidence</w:t>
      </w:r>
      <w:r>
        <w:rPr>
          <w:sz w:val="24"/>
          <w:lang w:eastAsia="ja-JP"/>
        </w:rPr>
        <w:t xml:space="preserve"> § 614.1 (2013 Edition).</w:t>
      </w:r>
    </w:p>
    <w:p w:rsidR="00C37463" w:rsidRDefault="00C37463" w:rsidP="00C37463">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Summaries</w:t>
      </w:r>
      <w:r w:rsidRPr="00F72BD8">
        <w:rPr>
          <w:sz w:val="24"/>
          <w:lang w:eastAsia="ja-JP"/>
        </w:rPr>
        <w:t xml:space="preserve">.  If a party intends to use a summary at trial, the party shall file and serve written notice on the opposing party </w:t>
      </w:r>
      <w:r w:rsidRPr="00E76B17">
        <w:rPr>
          <w:b/>
          <w:sz w:val="24"/>
          <w:lang w:eastAsia="ja-JP"/>
        </w:rPr>
        <w:t>no later than</w:t>
      </w:r>
      <w:r w:rsidRPr="00F72BD8">
        <w:rPr>
          <w:sz w:val="24"/>
          <w:lang w:eastAsia="ja-JP"/>
        </w:rPr>
        <w:t xml:space="preserve"> </w:t>
      </w:r>
      <w:r w:rsidR="005A58A4">
        <w:rPr>
          <w:b/>
          <w:sz w:val="24"/>
          <w:lang w:eastAsia="ja-JP"/>
        </w:rPr>
        <w:t>ten</w:t>
      </w:r>
      <w:r w:rsidR="001275F1">
        <w:rPr>
          <w:b/>
          <w:sz w:val="24"/>
          <w:lang w:eastAsia="ja-JP"/>
        </w:rPr>
        <w:t xml:space="preserve"> </w:t>
      </w:r>
      <w:r w:rsidRPr="006E47B1">
        <w:rPr>
          <w:b/>
          <w:sz w:val="24"/>
          <w:lang w:eastAsia="ja-JP"/>
        </w:rPr>
        <w:t>days</w:t>
      </w:r>
      <w:r w:rsidRPr="00F72BD8">
        <w:rPr>
          <w:sz w:val="24"/>
          <w:lang w:eastAsia="ja-JP"/>
        </w:rPr>
        <w:t xml:space="preserve"> </w:t>
      </w:r>
      <w:r w:rsidRPr="00E76B17">
        <w:rPr>
          <w:b/>
          <w:sz w:val="24"/>
          <w:lang w:eastAsia="ja-JP"/>
        </w:rPr>
        <w:t>before</w:t>
      </w:r>
      <w:r w:rsidRPr="00F72BD8">
        <w:rPr>
          <w:sz w:val="24"/>
          <w:lang w:eastAsia="ja-JP"/>
        </w:rPr>
        <w:t xml:space="preserve"> the commencement of trial of such intent and otherwise comply with section 90.956, </w:t>
      </w:r>
      <w:r w:rsidRPr="0026789C">
        <w:rPr>
          <w:i/>
          <w:sz w:val="24"/>
          <w:lang w:eastAsia="ja-JP"/>
        </w:rPr>
        <w:t>Florida Statutes</w:t>
      </w:r>
      <w:r w:rsidRPr="00F72BD8">
        <w:rPr>
          <w:sz w:val="24"/>
          <w:lang w:eastAsia="ja-JP"/>
        </w:rPr>
        <w:t>.  Otherwise, the summary will be excluded at trial.</w:t>
      </w:r>
    </w:p>
    <w:p w:rsidR="00F72BD8" w:rsidRDefault="00F72BD8" w:rsidP="00F72BD8">
      <w:pPr>
        <w:pStyle w:val="ListParagraph"/>
        <w:rPr>
          <w:sz w:val="24"/>
          <w:lang w:eastAsia="ja-JP"/>
        </w:rPr>
      </w:pPr>
    </w:p>
    <w:p w:rsidR="00F72BD8" w:rsidRPr="00F72BD8" w:rsidRDefault="00F72BD8" w:rsidP="00F72BD8">
      <w:pPr>
        <w:numPr>
          <w:ilvl w:val="0"/>
          <w:numId w:val="1"/>
        </w:numPr>
        <w:ind w:left="0" w:firstLine="720"/>
        <w:jc w:val="both"/>
        <w:rPr>
          <w:sz w:val="24"/>
          <w:lang w:eastAsia="ja-JP"/>
        </w:rPr>
      </w:pPr>
      <w:r w:rsidRPr="00F72BD8">
        <w:rPr>
          <w:b/>
          <w:sz w:val="24"/>
          <w:u w:val="single"/>
          <w:lang w:eastAsia="ja-JP"/>
        </w:rPr>
        <w:t>Judicial Notice</w:t>
      </w:r>
      <w:r w:rsidRPr="00F72BD8">
        <w:rPr>
          <w:sz w:val="24"/>
          <w:lang w:eastAsia="ja-JP"/>
        </w:rPr>
        <w:t xml:space="preserve">.  The Court will take judicial notice of all pleadings and orders filed in </w:t>
      </w:r>
      <w:r w:rsidRPr="008E789C">
        <w:rPr>
          <w:b/>
          <w:sz w:val="24"/>
          <w:lang w:eastAsia="ja-JP"/>
        </w:rPr>
        <w:t>this case</w:t>
      </w:r>
      <w:r w:rsidRPr="00F72BD8">
        <w:rPr>
          <w:sz w:val="24"/>
          <w:lang w:eastAsia="ja-JP"/>
        </w:rPr>
        <w:t xml:space="preserve">, including financial affidavits. </w:t>
      </w:r>
      <w:r w:rsidR="00CA5612" w:rsidRPr="00CA5612">
        <w:rPr>
          <w:i/>
          <w:sz w:val="24"/>
          <w:lang w:eastAsia="ja-JP"/>
        </w:rPr>
        <w:t>See</w:t>
      </w:r>
      <w:r w:rsidRPr="00CA5612">
        <w:rPr>
          <w:i/>
          <w:sz w:val="24"/>
          <w:lang w:eastAsia="ja-JP"/>
        </w:rPr>
        <w:t xml:space="preserve"> </w:t>
      </w:r>
      <w:r w:rsidR="009A02E7">
        <w:rPr>
          <w:sz w:val="24"/>
          <w:lang w:eastAsia="ja-JP"/>
        </w:rPr>
        <w:t xml:space="preserve">§ </w:t>
      </w:r>
      <w:r w:rsidR="00CA5612">
        <w:rPr>
          <w:sz w:val="24"/>
          <w:lang w:eastAsia="ja-JP"/>
        </w:rPr>
        <w:t>90.204</w:t>
      </w:r>
      <w:r w:rsidR="003B263D">
        <w:rPr>
          <w:sz w:val="24"/>
          <w:lang w:eastAsia="ja-JP"/>
        </w:rPr>
        <w:t xml:space="preserve">, </w:t>
      </w:r>
      <w:r w:rsidR="003B263D" w:rsidRPr="003B263D">
        <w:rPr>
          <w:i/>
          <w:sz w:val="24"/>
          <w:lang w:eastAsia="ja-JP"/>
        </w:rPr>
        <w:t>Florida Statutes</w:t>
      </w:r>
      <w:r w:rsidR="00CA5612">
        <w:rPr>
          <w:sz w:val="24"/>
          <w:lang w:eastAsia="ja-JP"/>
        </w:rPr>
        <w:t xml:space="preserve">.  </w:t>
      </w:r>
      <w:r w:rsidRPr="00F72BD8">
        <w:rPr>
          <w:sz w:val="24"/>
          <w:lang w:eastAsia="ja-JP"/>
        </w:rPr>
        <w:t xml:space="preserve">Other requests for judicial notice must be filed </w:t>
      </w:r>
      <w:r w:rsidRPr="00E76B17">
        <w:rPr>
          <w:b/>
          <w:sz w:val="24"/>
          <w:lang w:eastAsia="ja-JP"/>
        </w:rPr>
        <w:t xml:space="preserve">no later than </w:t>
      </w:r>
      <w:r w:rsidR="005A58A4">
        <w:rPr>
          <w:b/>
          <w:sz w:val="24"/>
          <w:lang w:eastAsia="ja-JP"/>
        </w:rPr>
        <w:t>ten</w:t>
      </w:r>
      <w:r w:rsidR="001275F1" w:rsidRPr="00E76B17">
        <w:rPr>
          <w:b/>
          <w:sz w:val="24"/>
          <w:lang w:eastAsia="ja-JP"/>
        </w:rPr>
        <w:t xml:space="preserve"> </w:t>
      </w:r>
      <w:r w:rsidRPr="00E76B17">
        <w:rPr>
          <w:b/>
          <w:sz w:val="24"/>
          <w:lang w:eastAsia="ja-JP"/>
        </w:rPr>
        <w:t>days before</w:t>
      </w:r>
      <w:r w:rsidRPr="00F72BD8">
        <w:rPr>
          <w:sz w:val="24"/>
          <w:lang w:eastAsia="ja-JP"/>
        </w:rPr>
        <w:t xml:space="preserve"> the commencement of trial.</w:t>
      </w:r>
    </w:p>
    <w:p w:rsidR="00F72BD8" w:rsidRDefault="00F72BD8" w:rsidP="00FF0AD3">
      <w:pPr>
        <w:pStyle w:val="ListParagraph"/>
        <w:rPr>
          <w:sz w:val="24"/>
          <w:lang w:eastAsia="ja-JP"/>
        </w:rPr>
      </w:pPr>
    </w:p>
    <w:p w:rsidR="00FF0AD3" w:rsidRPr="00FF0AD3" w:rsidRDefault="00FF0AD3" w:rsidP="00FF0AD3">
      <w:pPr>
        <w:numPr>
          <w:ilvl w:val="0"/>
          <w:numId w:val="1"/>
        </w:numPr>
        <w:ind w:left="0" w:firstLine="720"/>
        <w:jc w:val="both"/>
        <w:rPr>
          <w:sz w:val="24"/>
          <w:lang w:eastAsia="ja-JP"/>
        </w:rPr>
      </w:pPr>
      <w:r w:rsidRPr="00FF0AD3">
        <w:rPr>
          <w:b/>
          <w:sz w:val="24"/>
          <w:u w:val="single"/>
          <w:lang w:eastAsia="ja-JP"/>
        </w:rPr>
        <w:t>Cumulative Evidence/Mode and Order of Interrogation and Presentation</w:t>
      </w:r>
      <w:r w:rsidRPr="00FF0AD3">
        <w:rPr>
          <w:sz w:val="24"/>
          <w:lang w:eastAsia="ja-JP"/>
        </w:rPr>
        <w:t xml:space="preserve">.  Cumulative evidence is not permitted.  </w:t>
      </w:r>
      <w:r w:rsidR="00C37463">
        <w:rPr>
          <w:sz w:val="24"/>
          <w:lang w:eastAsia="ja-JP"/>
        </w:rPr>
        <w:t>In addition, any issues or problems with the scheduling of witnesses must be raised and addressed at the pretrial conference.  The Court will make every effort to adhere to counsel’s preferred order of presentation of witnesses and other evidence.  However, once the trial commences, the Court expects the presentation of evidence to proceed smoothly and efficiently.  Lastly, t</w:t>
      </w:r>
      <w:r w:rsidR="00C37463" w:rsidRPr="00FF0AD3">
        <w:rPr>
          <w:sz w:val="24"/>
          <w:lang w:eastAsia="ja-JP"/>
        </w:rPr>
        <w:t xml:space="preserve">he Court shall enforce section 90.612, </w:t>
      </w:r>
      <w:r w:rsidR="00C37463" w:rsidRPr="00FF0AD3">
        <w:rPr>
          <w:i/>
          <w:sz w:val="24"/>
          <w:lang w:eastAsia="ja-JP"/>
        </w:rPr>
        <w:t>Florida Statutes</w:t>
      </w:r>
      <w:r w:rsidR="00C37463" w:rsidRPr="00FF0AD3">
        <w:rPr>
          <w:sz w:val="24"/>
          <w:lang w:eastAsia="ja-JP"/>
        </w:rPr>
        <w:t>, strictly</w:t>
      </w:r>
      <w:r w:rsidR="00C37463">
        <w:rPr>
          <w:sz w:val="24"/>
          <w:lang w:eastAsia="ja-JP"/>
        </w:rPr>
        <w:t>, and reserves the right to require counsel to call witnesses out of order if necessary to avoid late starts, long mid-day recesses, and early afternoon recesses.</w:t>
      </w:r>
    </w:p>
    <w:p w:rsidR="00E243D4" w:rsidRDefault="00E243D4" w:rsidP="00E243D4">
      <w:pPr>
        <w:ind w:left="720"/>
        <w:jc w:val="both"/>
        <w:rPr>
          <w:sz w:val="24"/>
          <w:lang w:eastAsia="ja-JP"/>
        </w:rPr>
      </w:pPr>
    </w:p>
    <w:p w:rsidR="00CC6EC6" w:rsidRDefault="00F94053" w:rsidP="00870A8B">
      <w:pPr>
        <w:numPr>
          <w:ilvl w:val="0"/>
          <w:numId w:val="1"/>
        </w:numPr>
        <w:ind w:left="0" w:firstLine="720"/>
        <w:jc w:val="both"/>
        <w:rPr>
          <w:sz w:val="24"/>
          <w:lang w:eastAsia="ja-JP"/>
        </w:rPr>
      </w:pPr>
      <w:r w:rsidRPr="009571B7">
        <w:rPr>
          <w:b/>
          <w:sz w:val="24"/>
          <w:u w:val="single"/>
          <w:lang w:eastAsia="ja-JP"/>
        </w:rPr>
        <w:t>Professionalism &amp; Courtroom Decorum</w:t>
      </w:r>
      <w:r>
        <w:rPr>
          <w:sz w:val="24"/>
          <w:lang w:eastAsia="ja-JP"/>
        </w:rPr>
        <w:t>.</w:t>
      </w:r>
      <w:r w:rsidR="008778FE">
        <w:rPr>
          <w:sz w:val="24"/>
          <w:lang w:eastAsia="ja-JP"/>
        </w:rPr>
        <w:t xml:space="preserve">  </w:t>
      </w:r>
      <w:r w:rsidR="00E5760D" w:rsidRPr="002F0E0A">
        <w:rPr>
          <w:sz w:val="24"/>
          <w:lang w:eastAsia="ja-JP"/>
        </w:rPr>
        <w:t>The conduct of this trial shall be pursuant to and consistent with the Florida Bar, Trial Lawyers Section, Guidelines for Professional Conduct.</w:t>
      </w:r>
      <w:r w:rsidR="00CC6EC6" w:rsidRPr="002F0E0A">
        <w:rPr>
          <w:sz w:val="24"/>
          <w:lang w:eastAsia="ja-JP"/>
        </w:rPr>
        <w:t xml:space="preserve">  Each attorney shall admonish their client(s) and office staff not to exhibit inappropriate behavior in the presence of the </w:t>
      </w:r>
      <w:r w:rsidR="001275F1">
        <w:rPr>
          <w:sz w:val="24"/>
          <w:lang w:eastAsia="ja-JP"/>
        </w:rPr>
        <w:t>Court</w:t>
      </w:r>
      <w:r w:rsidR="00CC6EC6" w:rsidRPr="002F0E0A">
        <w:rPr>
          <w:sz w:val="24"/>
          <w:lang w:eastAsia="ja-JP"/>
        </w:rPr>
        <w:t xml:space="preserve">. </w:t>
      </w:r>
      <w:r w:rsidR="00942684">
        <w:rPr>
          <w:sz w:val="24"/>
          <w:lang w:eastAsia="ja-JP"/>
        </w:rPr>
        <w:t xml:space="preserve"> </w:t>
      </w:r>
      <w:r w:rsidR="00CC6EC6" w:rsidRPr="002F0E0A">
        <w:rPr>
          <w:sz w:val="24"/>
          <w:lang w:eastAsia="ja-JP"/>
        </w:rPr>
        <w:t>Inappropriate conduct shall include but not be limited to facial gestures and audible comments.</w:t>
      </w:r>
    </w:p>
    <w:p w:rsidR="00237911" w:rsidRPr="002F0E0A" w:rsidRDefault="00237911" w:rsidP="00237911">
      <w:pPr>
        <w:ind w:left="720"/>
        <w:jc w:val="both"/>
        <w:rPr>
          <w:sz w:val="24"/>
          <w:lang w:eastAsia="ja-JP"/>
        </w:rPr>
      </w:pPr>
    </w:p>
    <w:p w:rsidR="00CC6EC6" w:rsidRDefault="00142F41" w:rsidP="00870A8B">
      <w:pPr>
        <w:numPr>
          <w:ilvl w:val="0"/>
          <w:numId w:val="1"/>
        </w:numPr>
        <w:ind w:left="0" w:firstLine="720"/>
        <w:jc w:val="both"/>
        <w:rPr>
          <w:sz w:val="24"/>
          <w:lang w:eastAsia="ja-JP"/>
        </w:rPr>
      </w:pPr>
      <w:r w:rsidRPr="009571B7">
        <w:rPr>
          <w:b/>
          <w:sz w:val="24"/>
          <w:u w:val="single"/>
          <w:lang w:eastAsia="ja-JP"/>
        </w:rPr>
        <w:t>Use of Surnames O</w:t>
      </w:r>
      <w:r w:rsidR="00CC6EC6" w:rsidRPr="009571B7">
        <w:rPr>
          <w:b/>
          <w:sz w:val="24"/>
          <w:u w:val="single"/>
          <w:lang w:eastAsia="ja-JP"/>
        </w:rPr>
        <w:t>nly</w:t>
      </w:r>
      <w:r w:rsidR="00CC6EC6" w:rsidRPr="002F0E0A">
        <w:rPr>
          <w:sz w:val="24"/>
          <w:lang w:eastAsia="ja-JP"/>
        </w:rPr>
        <w:t xml:space="preserve">.  All </w:t>
      </w:r>
      <w:r w:rsidR="005B3F82">
        <w:rPr>
          <w:sz w:val="24"/>
          <w:lang w:eastAsia="ja-JP"/>
        </w:rPr>
        <w:t>c</w:t>
      </w:r>
      <w:r w:rsidR="00CC6EC6" w:rsidRPr="002F0E0A">
        <w:rPr>
          <w:sz w:val="24"/>
          <w:lang w:eastAsia="ja-JP"/>
        </w:rPr>
        <w:t xml:space="preserve">ounsel are directed to refer to their clients, each other, and all witnesses only by surnames and </w:t>
      </w:r>
      <w:r w:rsidR="00CC6EC6" w:rsidRPr="005B3F82">
        <w:rPr>
          <w:sz w:val="24"/>
          <w:u w:val="single"/>
          <w:lang w:eastAsia="ja-JP"/>
        </w:rPr>
        <w:t>not</w:t>
      </w:r>
      <w:r w:rsidR="00CC6EC6" w:rsidRPr="002F0E0A">
        <w:rPr>
          <w:sz w:val="24"/>
          <w:lang w:eastAsia="ja-JP"/>
        </w:rPr>
        <w:t xml:space="preserve"> be their first or given names.</w:t>
      </w:r>
    </w:p>
    <w:p w:rsidR="00237911" w:rsidRDefault="00237911" w:rsidP="00237911">
      <w:pPr>
        <w:ind w:left="720"/>
        <w:jc w:val="both"/>
        <w:rPr>
          <w:sz w:val="24"/>
          <w:lang w:eastAsia="ja-JP"/>
        </w:rPr>
      </w:pPr>
    </w:p>
    <w:p w:rsidR="00E5760D" w:rsidRDefault="00CC6EC6" w:rsidP="00C4092C">
      <w:pPr>
        <w:numPr>
          <w:ilvl w:val="0"/>
          <w:numId w:val="1"/>
        </w:numPr>
        <w:ind w:left="0" w:firstLine="720"/>
        <w:jc w:val="both"/>
        <w:rPr>
          <w:sz w:val="24"/>
          <w:lang w:eastAsia="ja-JP"/>
        </w:rPr>
      </w:pPr>
      <w:r w:rsidRPr="009571B7">
        <w:rPr>
          <w:b/>
          <w:sz w:val="24"/>
          <w:u w:val="single"/>
          <w:lang w:eastAsia="ja-JP"/>
        </w:rPr>
        <w:t>Electronic Devices</w:t>
      </w:r>
      <w:r w:rsidRPr="002F0E0A">
        <w:rPr>
          <w:sz w:val="24"/>
          <w:lang w:eastAsia="ja-JP"/>
        </w:rPr>
        <w:t xml:space="preserve">.  </w:t>
      </w:r>
      <w:r w:rsidR="00E5760D" w:rsidRPr="002F0E0A">
        <w:rPr>
          <w:sz w:val="24"/>
          <w:lang w:eastAsia="ja-JP"/>
        </w:rPr>
        <w:t>Counsel shall advise clients, witnesses, and staff that all electronic devices shall be turned off prior to entering courtroom</w:t>
      </w:r>
      <w:r w:rsidR="005B3F82">
        <w:rPr>
          <w:sz w:val="24"/>
          <w:lang w:eastAsia="ja-JP"/>
        </w:rPr>
        <w:t xml:space="preserve"> and shall remain off in the courtroom during the trial</w:t>
      </w:r>
      <w:r w:rsidR="00E5760D" w:rsidRPr="002F0E0A">
        <w:rPr>
          <w:sz w:val="24"/>
          <w:lang w:eastAsia="ja-JP"/>
        </w:rPr>
        <w:t>.  During trial, electronic devices which are audible in the courtroom shall be confiscated and retained by the bailiff until the conclusion of the trial.</w:t>
      </w:r>
    </w:p>
    <w:p w:rsidR="00CC331C" w:rsidRDefault="00CC331C" w:rsidP="00CC331C">
      <w:pPr>
        <w:pStyle w:val="ListParagraph"/>
        <w:rPr>
          <w:sz w:val="24"/>
          <w:lang w:eastAsia="ja-JP"/>
        </w:rPr>
      </w:pPr>
    </w:p>
    <w:p w:rsidR="0028207A" w:rsidRDefault="00CC331C" w:rsidP="00CC331C">
      <w:pPr>
        <w:numPr>
          <w:ilvl w:val="0"/>
          <w:numId w:val="1"/>
        </w:numPr>
        <w:ind w:left="0" w:firstLine="720"/>
        <w:jc w:val="both"/>
        <w:rPr>
          <w:sz w:val="24"/>
          <w:lang w:eastAsia="ja-JP"/>
        </w:rPr>
      </w:pPr>
      <w:r>
        <w:rPr>
          <w:b/>
          <w:sz w:val="24"/>
          <w:u w:val="single"/>
          <w:lang w:eastAsia="ja-JP"/>
        </w:rPr>
        <w:t>Failure to C</w:t>
      </w:r>
      <w:r w:rsidRPr="00CC331C">
        <w:rPr>
          <w:b/>
          <w:sz w:val="24"/>
          <w:u w:val="single"/>
          <w:lang w:eastAsia="ja-JP"/>
        </w:rPr>
        <w:t>omply</w:t>
      </w:r>
      <w:r>
        <w:rPr>
          <w:sz w:val="24"/>
          <w:lang w:eastAsia="ja-JP"/>
        </w:rPr>
        <w:t xml:space="preserve">.  </w:t>
      </w:r>
      <w:r w:rsidRPr="00CC331C">
        <w:rPr>
          <w:sz w:val="24"/>
          <w:lang w:eastAsia="ja-JP"/>
        </w:rPr>
        <w:t>Failure to comply</w:t>
      </w:r>
      <w:r>
        <w:rPr>
          <w:sz w:val="24"/>
          <w:lang w:eastAsia="ja-JP"/>
        </w:rPr>
        <w:t xml:space="preserve"> with the requirements of this o</w:t>
      </w:r>
      <w:r w:rsidRPr="00CC331C">
        <w:rPr>
          <w:sz w:val="24"/>
          <w:lang w:eastAsia="ja-JP"/>
        </w:rPr>
        <w:t>rder will subject the party and/or counsel to appropriate sanctions.  Sanctions include the striking of pleadings; exclusion of evidence; refusal of the Court to award attorney’s fees and costs; and any other sanctions deemed appropriate by the Court.  All parties must comply as ordered in the preceding paragraphs.</w:t>
      </w:r>
    </w:p>
    <w:p w:rsidR="00334438" w:rsidRDefault="00334438" w:rsidP="00334438">
      <w:pPr>
        <w:pStyle w:val="ListParagraph"/>
        <w:rPr>
          <w:sz w:val="24"/>
          <w:lang w:eastAsia="ja-JP"/>
        </w:rPr>
      </w:pPr>
    </w:p>
    <w:p w:rsidR="00334438" w:rsidRDefault="00334438" w:rsidP="00CC331C">
      <w:pPr>
        <w:numPr>
          <w:ilvl w:val="0"/>
          <w:numId w:val="1"/>
        </w:numPr>
        <w:ind w:left="0" w:firstLine="720"/>
        <w:jc w:val="both"/>
        <w:rPr>
          <w:sz w:val="24"/>
          <w:lang w:eastAsia="ja-JP"/>
        </w:rPr>
      </w:pPr>
      <w:r w:rsidRPr="00334438">
        <w:rPr>
          <w:b/>
          <w:sz w:val="24"/>
          <w:u w:val="single"/>
          <w:lang w:eastAsia="ja-JP"/>
        </w:rPr>
        <w:t>Other</w:t>
      </w:r>
      <w:r>
        <w:rPr>
          <w:sz w:val="24"/>
          <w:lang w:eastAsia="ja-JP"/>
        </w:rPr>
        <w:t xml:space="preserve">.  </w:t>
      </w:r>
      <w:r w:rsidR="00942684">
        <w:rPr>
          <w:sz w:val="24"/>
          <w:lang w:eastAsia="ja-JP"/>
        </w:rPr>
        <w:t>None.</w:t>
      </w:r>
      <w:r w:rsidR="00BB3896">
        <w:rPr>
          <w:sz w:val="24"/>
          <w:lang w:eastAsia="ja-JP"/>
        </w:rPr>
        <w:t xml:space="preserve"> OR</w:t>
      </w:r>
      <w:r w:rsidR="00942684">
        <w:rPr>
          <w:sz w:val="24"/>
          <w:lang w:eastAsia="ja-JP"/>
        </w:rPr>
        <w:t xml:space="preserve">  </w:t>
      </w:r>
      <w:r w:rsidR="000F1941">
        <w:rPr>
          <w:sz w:val="24"/>
          <w:lang w:eastAsia="ja-JP"/>
        </w:rPr>
        <w:t xml:space="preserve">[  ] </w:t>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Pr>
          <w:sz w:val="24"/>
          <w:u w:val="single"/>
          <w:lang w:eastAsia="ja-JP"/>
        </w:rPr>
        <w:tab/>
      </w:r>
      <w:r w:rsidR="00960EC6">
        <w:rPr>
          <w:sz w:val="24"/>
          <w:u w:val="single"/>
          <w:lang w:eastAsia="ja-JP"/>
        </w:rPr>
        <w:tab/>
      </w:r>
    </w:p>
    <w:p w:rsidR="00CC331C" w:rsidRPr="00CC331C" w:rsidRDefault="00CC331C" w:rsidP="00CC331C">
      <w:pPr>
        <w:ind w:left="720"/>
        <w:jc w:val="both"/>
        <w:rPr>
          <w:sz w:val="24"/>
          <w:lang w:eastAsia="ja-JP"/>
        </w:rPr>
      </w:pPr>
    </w:p>
    <w:p w:rsidR="005F59B6" w:rsidRPr="00CC6EC6" w:rsidRDefault="00E5760D" w:rsidP="00231419">
      <w:pPr>
        <w:ind w:firstLine="720"/>
        <w:jc w:val="both"/>
        <w:rPr>
          <w:sz w:val="24"/>
          <w:lang w:eastAsia="ja-JP"/>
        </w:rPr>
      </w:pPr>
      <w:r>
        <w:rPr>
          <w:sz w:val="24"/>
          <w:lang w:eastAsia="ja-JP"/>
        </w:rPr>
        <w:t>DONE AND ORDERED</w:t>
      </w:r>
      <w:r w:rsidR="00CC6EC6">
        <w:rPr>
          <w:sz w:val="24"/>
          <w:lang w:eastAsia="ja-JP"/>
        </w:rPr>
        <w:t xml:space="preserve">:  </w:t>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lang w:eastAsia="ja-JP"/>
        </w:rPr>
        <w:t>.</w:t>
      </w:r>
    </w:p>
    <w:p w:rsidR="00E5760D" w:rsidRDefault="00E5760D" w:rsidP="00231419">
      <w:pPr>
        <w:jc w:val="both"/>
        <w:rPr>
          <w:sz w:val="24"/>
          <w:lang w:eastAsia="ja-JP"/>
        </w:rPr>
      </w:pPr>
    </w:p>
    <w:p w:rsidR="00E5760D" w:rsidRDefault="00E5760D" w:rsidP="00231419">
      <w:pPr>
        <w:jc w:val="both"/>
        <w:rPr>
          <w:sz w:val="24"/>
          <w:lang w:eastAsia="ja-JP"/>
        </w:rPr>
      </w:pPr>
    </w:p>
    <w:p w:rsidR="00EE6584" w:rsidRDefault="00EE6584" w:rsidP="00231419">
      <w:pPr>
        <w:jc w:val="both"/>
        <w:rPr>
          <w:sz w:val="24"/>
          <w:lang w:eastAsia="ja-JP"/>
        </w:rPr>
      </w:pPr>
    </w:p>
    <w:p w:rsidR="00E5760D" w:rsidRPr="00CC6EC6" w:rsidRDefault="00E5760D"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sidR="00CC6EC6">
        <w:rPr>
          <w:sz w:val="24"/>
          <w:lang w:eastAsia="ja-JP"/>
        </w:rPr>
        <w:tab/>
      </w:r>
      <w:r w:rsidR="00CC6EC6">
        <w:rPr>
          <w:sz w:val="24"/>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r w:rsidR="00CC6EC6">
        <w:rPr>
          <w:sz w:val="24"/>
          <w:u w:val="single"/>
          <w:lang w:eastAsia="ja-JP"/>
        </w:rPr>
        <w:tab/>
      </w:r>
    </w:p>
    <w:p w:rsidR="00E5760D"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ELIZABETH G. RICE</w:t>
      </w:r>
    </w:p>
    <w:p w:rsidR="00C94B39" w:rsidRDefault="00C94B39" w:rsidP="00231419">
      <w:pPr>
        <w:jc w:val="both"/>
        <w:rPr>
          <w:sz w:val="24"/>
          <w:lang w:eastAsia="ja-JP"/>
        </w:rPr>
      </w:pP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r>
      <w:r>
        <w:rPr>
          <w:sz w:val="24"/>
          <w:lang w:eastAsia="ja-JP"/>
        </w:rPr>
        <w:tab/>
        <w:t>Circuit Court Judge</w:t>
      </w:r>
    </w:p>
    <w:p w:rsidR="00E5760D" w:rsidRDefault="00E5760D" w:rsidP="00FB37C9">
      <w:pPr>
        <w:jc w:val="both"/>
        <w:rPr>
          <w:sz w:val="24"/>
          <w:lang w:eastAsia="ja-JP"/>
        </w:rPr>
      </w:pPr>
    </w:p>
    <w:p w:rsidR="00E5760D" w:rsidRDefault="00C94B39" w:rsidP="00FB37C9">
      <w:pPr>
        <w:jc w:val="both"/>
        <w:rPr>
          <w:i/>
          <w:sz w:val="24"/>
          <w:lang w:eastAsia="ja-JP"/>
        </w:rPr>
      </w:pPr>
      <w:r w:rsidRPr="00C81C72">
        <w:rPr>
          <w:i/>
          <w:sz w:val="24"/>
          <w:lang w:eastAsia="ja-JP"/>
        </w:rPr>
        <w:t>Conformed c</w:t>
      </w:r>
      <w:r w:rsidR="00E5760D" w:rsidRPr="00C81C72">
        <w:rPr>
          <w:i/>
          <w:sz w:val="24"/>
          <w:lang w:eastAsia="ja-JP"/>
        </w:rPr>
        <w:t>opies</w:t>
      </w:r>
      <w:r w:rsidRPr="00C81C72">
        <w:rPr>
          <w:i/>
          <w:sz w:val="24"/>
          <w:lang w:eastAsia="ja-JP"/>
        </w:rPr>
        <w:t xml:space="preserve"> furnished</w:t>
      </w:r>
      <w:r w:rsidR="00942684">
        <w:rPr>
          <w:i/>
          <w:sz w:val="24"/>
          <w:lang w:eastAsia="ja-JP"/>
        </w:rPr>
        <w:t xml:space="preserve"> </w:t>
      </w:r>
      <w:r w:rsidR="005A58A4">
        <w:rPr>
          <w:i/>
          <w:sz w:val="24"/>
          <w:lang w:eastAsia="ja-JP"/>
        </w:rPr>
        <w:t>to:</w:t>
      </w:r>
    </w:p>
    <w:p w:rsidR="005A58A4" w:rsidRPr="005A58A4" w:rsidRDefault="005A58A4" w:rsidP="00FB37C9">
      <w:pPr>
        <w:jc w:val="both"/>
        <w:rPr>
          <w:sz w:val="24"/>
          <w:lang w:eastAsia="ja-JP"/>
        </w:rPr>
      </w:pPr>
      <w:r w:rsidRPr="005A58A4">
        <w:rPr>
          <w:sz w:val="24"/>
          <w:lang w:eastAsia="ja-JP"/>
        </w:rPr>
        <w:t xml:space="preserve">(insert names of </w:t>
      </w:r>
      <w:r w:rsidR="00FB37C9">
        <w:rPr>
          <w:sz w:val="24"/>
          <w:lang w:eastAsia="ja-JP"/>
        </w:rPr>
        <w:t>counsel/</w:t>
      </w:r>
      <w:r w:rsidRPr="005A58A4">
        <w:rPr>
          <w:sz w:val="24"/>
          <w:lang w:eastAsia="ja-JP"/>
        </w:rPr>
        <w:t>parties)</w:t>
      </w:r>
    </w:p>
    <w:sectPr w:rsidR="005A58A4" w:rsidRPr="005A58A4" w:rsidSect="00457A7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52E" w:rsidRDefault="00A2052E">
      <w:r>
        <w:separator/>
      </w:r>
    </w:p>
  </w:endnote>
  <w:endnote w:type="continuationSeparator" w:id="0">
    <w:p w:rsidR="00A2052E" w:rsidRDefault="00A2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0" w:rsidRDefault="00EA1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511" w:rsidRPr="00E526A1" w:rsidRDefault="00457A7A" w:rsidP="00E526A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159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1590">
      <w:rPr>
        <w:b/>
        <w:bCs/>
        <w:noProof/>
      </w:rPr>
      <w:t>4</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6F" w:rsidRPr="0005416F" w:rsidRDefault="0005416F">
    <w:pPr>
      <w:pStyle w:val="Footer"/>
      <w:rPr>
        <w:sz w:val="16"/>
        <w:szCs w:val="16"/>
      </w:rPr>
    </w:pPr>
    <w:r w:rsidRPr="0005416F">
      <w:rPr>
        <w:sz w:val="16"/>
        <w:szCs w:val="16"/>
      </w:rPr>
      <w:t xml:space="preserve">Revised </w:t>
    </w:r>
    <w:r w:rsidR="005A58A4">
      <w:rPr>
        <w:sz w:val="16"/>
        <w:szCs w:val="16"/>
      </w:rPr>
      <w:t>01/05/18</w:t>
    </w:r>
  </w:p>
  <w:p w:rsidR="0005416F" w:rsidRDefault="00054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52E" w:rsidRDefault="00A2052E">
      <w:r>
        <w:separator/>
      </w:r>
    </w:p>
  </w:footnote>
  <w:footnote w:type="continuationSeparator" w:id="0">
    <w:p w:rsidR="00A2052E" w:rsidRDefault="00A2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0" w:rsidRDefault="00EA15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0" w:rsidRDefault="00EA1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590" w:rsidRDefault="00EA1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409000F"/>
    <w:lvl w:ilvl="0" w:tplc="04E29A7A">
      <w:start w:val="1"/>
      <w:numFmt w:val="decimal"/>
      <w:lvlText w:val="%1."/>
      <w:lvlJc w:val="left"/>
      <w:pPr>
        <w:ind w:left="720" w:hanging="360"/>
      </w:pPr>
    </w:lvl>
    <w:lvl w:ilvl="1" w:tplc="E0025F74">
      <w:start w:val="1"/>
      <w:numFmt w:val="lowerLetter"/>
      <w:lvlText w:val="%2."/>
      <w:lvlJc w:val="left"/>
      <w:pPr>
        <w:ind w:left="1440" w:hanging="360"/>
      </w:pPr>
    </w:lvl>
    <w:lvl w:ilvl="2" w:tplc="7BC0138E" w:tentative="1">
      <w:start w:val="1"/>
      <w:numFmt w:val="lowerRoman"/>
      <w:lvlText w:val="%3."/>
      <w:lvlJc w:val="right"/>
      <w:pPr>
        <w:ind w:left="2160" w:hanging="180"/>
      </w:pPr>
    </w:lvl>
    <w:lvl w:ilvl="3" w:tplc="8DE881BC" w:tentative="1">
      <w:start w:val="1"/>
      <w:numFmt w:val="decimal"/>
      <w:lvlText w:val="%4."/>
      <w:lvlJc w:val="left"/>
      <w:pPr>
        <w:ind w:left="2880" w:hanging="360"/>
      </w:pPr>
    </w:lvl>
    <w:lvl w:ilvl="4" w:tplc="78DAD474">
      <w:start w:val="1"/>
      <w:numFmt w:val="lowerLetter"/>
      <w:lvlText w:val="%5."/>
      <w:lvlJc w:val="left"/>
      <w:pPr>
        <w:ind w:left="3600" w:hanging="360"/>
      </w:pPr>
    </w:lvl>
    <w:lvl w:ilvl="5" w:tplc="166C8F84" w:tentative="1">
      <w:start w:val="1"/>
      <w:numFmt w:val="lowerRoman"/>
      <w:lvlText w:val="%6."/>
      <w:lvlJc w:val="right"/>
      <w:pPr>
        <w:ind w:left="4320" w:hanging="180"/>
      </w:pPr>
    </w:lvl>
    <w:lvl w:ilvl="6" w:tplc="664A9BF6" w:tentative="1">
      <w:start w:val="1"/>
      <w:numFmt w:val="decimal"/>
      <w:lvlText w:val="%7."/>
      <w:lvlJc w:val="left"/>
      <w:pPr>
        <w:ind w:left="5040" w:hanging="360"/>
      </w:pPr>
    </w:lvl>
    <w:lvl w:ilvl="7" w:tplc="CB366ECC" w:tentative="1">
      <w:start w:val="1"/>
      <w:numFmt w:val="lowerLetter"/>
      <w:lvlText w:val="%8."/>
      <w:lvlJc w:val="left"/>
      <w:pPr>
        <w:ind w:left="5760" w:hanging="360"/>
      </w:pPr>
    </w:lvl>
    <w:lvl w:ilvl="8" w:tplc="1D22E75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FE"/>
    <w:rsid w:val="00026B9E"/>
    <w:rsid w:val="00045D03"/>
    <w:rsid w:val="00046AC3"/>
    <w:rsid w:val="00051675"/>
    <w:rsid w:val="0005416F"/>
    <w:rsid w:val="00062B0D"/>
    <w:rsid w:val="00080C0B"/>
    <w:rsid w:val="00094D89"/>
    <w:rsid w:val="000A0F1F"/>
    <w:rsid w:val="000A3902"/>
    <w:rsid w:val="000A6822"/>
    <w:rsid w:val="000C0BCE"/>
    <w:rsid w:val="000C1DF6"/>
    <w:rsid w:val="000D300E"/>
    <w:rsid w:val="000D6984"/>
    <w:rsid w:val="000E6162"/>
    <w:rsid w:val="000E7BC7"/>
    <w:rsid w:val="000F1941"/>
    <w:rsid w:val="000F7027"/>
    <w:rsid w:val="00117FA1"/>
    <w:rsid w:val="001275F1"/>
    <w:rsid w:val="00142F41"/>
    <w:rsid w:val="0014689B"/>
    <w:rsid w:val="0015018D"/>
    <w:rsid w:val="001505C3"/>
    <w:rsid w:val="00152DFE"/>
    <w:rsid w:val="00153AC8"/>
    <w:rsid w:val="00160359"/>
    <w:rsid w:val="00160FAC"/>
    <w:rsid w:val="0017333A"/>
    <w:rsid w:val="001D6DD8"/>
    <w:rsid w:val="001E5DC8"/>
    <w:rsid w:val="002206B6"/>
    <w:rsid w:val="00231419"/>
    <w:rsid w:val="00237911"/>
    <w:rsid w:val="002535C6"/>
    <w:rsid w:val="0026789C"/>
    <w:rsid w:val="00280737"/>
    <w:rsid w:val="00280C3F"/>
    <w:rsid w:val="0028207A"/>
    <w:rsid w:val="00285C2F"/>
    <w:rsid w:val="00293D48"/>
    <w:rsid w:val="002D1F2E"/>
    <w:rsid w:val="002D240C"/>
    <w:rsid w:val="002E6596"/>
    <w:rsid w:val="002F0E0A"/>
    <w:rsid w:val="002F250D"/>
    <w:rsid w:val="00307BB2"/>
    <w:rsid w:val="00322429"/>
    <w:rsid w:val="00334438"/>
    <w:rsid w:val="00355E54"/>
    <w:rsid w:val="00374846"/>
    <w:rsid w:val="00381B7F"/>
    <w:rsid w:val="00390C03"/>
    <w:rsid w:val="00393659"/>
    <w:rsid w:val="003B263D"/>
    <w:rsid w:val="003B7FFE"/>
    <w:rsid w:val="003D16D6"/>
    <w:rsid w:val="003E3523"/>
    <w:rsid w:val="003E3F97"/>
    <w:rsid w:val="00403BAF"/>
    <w:rsid w:val="00405341"/>
    <w:rsid w:val="00417842"/>
    <w:rsid w:val="00426AAB"/>
    <w:rsid w:val="004550F0"/>
    <w:rsid w:val="00457A7A"/>
    <w:rsid w:val="004873B1"/>
    <w:rsid w:val="004C4792"/>
    <w:rsid w:val="004C588D"/>
    <w:rsid w:val="004E4CCC"/>
    <w:rsid w:val="00517BB0"/>
    <w:rsid w:val="00546A7A"/>
    <w:rsid w:val="00570FC8"/>
    <w:rsid w:val="00582063"/>
    <w:rsid w:val="005849B7"/>
    <w:rsid w:val="005912A0"/>
    <w:rsid w:val="005A58A4"/>
    <w:rsid w:val="005B3F82"/>
    <w:rsid w:val="005C4224"/>
    <w:rsid w:val="005D3945"/>
    <w:rsid w:val="005E1DA9"/>
    <w:rsid w:val="005F59B6"/>
    <w:rsid w:val="0064572D"/>
    <w:rsid w:val="00647EA2"/>
    <w:rsid w:val="00683099"/>
    <w:rsid w:val="006A4909"/>
    <w:rsid w:val="006A7471"/>
    <w:rsid w:val="006D744C"/>
    <w:rsid w:val="006E47B1"/>
    <w:rsid w:val="007400C1"/>
    <w:rsid w:val="00766FB0"/>
    <w:rsid w:val="007715D7"/>
    <w:rsid w:val="007855A6"/>
    <w:rsid w:val="00786C0B"/>
    <w:rsid w:val="007877C8"/>
    <w:rsid w:val="00791AE6"/>
    <w:rsid w:val="007B5B93"/>
    <w:rsid w:val="007C415B"/>
    <w:rsid w:val="007D3A43"/>
    <w:rsid w:val="00815BDF"/>
    <w:rsid w:val="00824932"/>
    <w:rsid w:val="00866C0F"/>
    <w:rsid w:val="00870A8B"/>
    <w:rsid w:val="008778FE"/>
    <w:rsid w:val="00887FCB"/>
    <w:rsid w:val="008D5144"/>
    <w:rsid w:val="008E789C"/>
    <w:rsid w:val="009102F6"/>
    <w:rsid w:val="009106EC"/>
    <w:rsid w:val="0091687E"/>
    <w:rsid w:val="0092726A"/>
    <w:rsid w:val="00937AE9"/>
    <w:rsid w:val="00937D59"/>
    <w:rsid w:val="00942684"/>
    <w:rsid w:val="009571B7"/>
    <w:rsid w:val="00960EC6"/>
    <w:rsid w:val="009810D3"/>
    <w:rsid w:val="009A02E7"/>
    <w:rsid w:val="009D15DC"/>
    <w:rsid w:val="009D3B60"/>
    <w:rsid w:val="009E6403"/>
    <w:rsid w:val="009E67A4"/>
    <w:rsid w:val="009E7984"/>
    <w:rsid w:val="009F3A65"/>
    <w:rsid w:val="009F6FC4"/>
    <w:rsid w:val="00A0165B"/>
    <w:rsid w:val="00A06A49"/>
    <w:rsid w:val="00A1590B"/>
    <w:rsid w:val="00A2052E"/>
    <w:rsid w:val="00A44D40"/>
    <w:rsid w:val="00A45A1A"/>
    <w:rsid w:val="00A51912"/>
    <w:rsid w:val="00A83E3D"/>
    <w:rsid w:val="00A83EE9"/>
    <w:rsid w:val="00A86028"/>
    <w:rsid w:val="00A92907"/>
    <w:rsid w:val="00A940B7"/>
    <w:rsid w:val="00AD3EA2"/>
    <w:rsid w:val="00AE27B7"/>
    <w:rsid w:val="00B009C4"/>
    <w:rsid w:val="00B12774"/>
    <w:rsid w:val="00B5220C"/>
    <w:rsid w:val="00B62B17"/>
    <w:rsid w:val="00B76B7B"/>
    <w:rsid w:val="00BA05CC"/>
    <w:rsid w:val="00BB3896"/>
    <w:rsid w:val="00BD4951"/>
    <w:rsid w:val="00C27511"/>
    <w:rsid w:val="00C34CD3"/>
    <w:rsid w:val="00C37463"/>
    <w:rsid w:val="00C4092C"/>
    <w:rsid w:val="00C40F4C"/>
    <w:rsid w:val="00C661A3"/>
    <w:rsid w:val="00C81695"/>
    <w:rsid w:val="00C81C72"/>
    <w:rsid w:val="00C83C90"/>
    <w:rsid w:val="00C94B39"/>
    <w:rsid w:val="00CA27FC"/>
    <w:rsid w:val="00CA5612"/>
    <w:rsid w:val="00CC331C"/>
    <w:rsid w:val="00CC6EC6"/>
    <w:rsid w:val="00CD2606"/>
    <w:rsid w:val="00CF2689"/>
    <w:rsid w:val="00D2601C"/>
    <w:rsid w:val="00D47559"/>
    <w:rsid w:val="00D65606"/>
    <w:rsid w:val="00D6640C"/>
    <w:rsid w:val="00D84F68"/>
    <w:rsid w:val="00DA5534"/>
    <w:rsid w:val="00DB72A7"/>
    <w:rsid w:val="00DB7EC9"/>
    <w:rsid w:val="00DD1F80"/>
    <w:rsid w:val="00DE2216"/>
    <w:rsid w:val="00DE7F59"/>
    <w:rsid w:val="00DF3D77"/>
    <w:rsid w:val="00DF4BB6"/>
    <w:rsid w:val="00E017DC"/>
    <w:rsid w:val="00E243D4"/>
    <w:rsid w:val="00E364FF"/>
    <w:rsid w:val="00E37A90"/>
    <w:rsid w:val="00E4174B"/>
    <w:rsid w:val="00E526A1"/>
    <w:rsid w:val="00E56ABD"/>
    <w:rsid w:val="00E5760D"/>
    <w:rsid w:val="00E6245B"/>
    <w:rsid w:val="00E62E2D"/>
    <w:rsid w:val="00E66A3C"/>
    <w:rsid w:val="00E76B17"/>
    <w:rsid w:val="00E841CF"/>
    <w:rsid w:val="00E90F57"/>
    <w:rsid w:val="00EA1590"/>
    <w:rsid w:val="00EE150C"/>
    <w:rsid w:val="00EE48C3"/>
    <w:rsid w:val="00EE5F55"/>
    <w:rsid w:val="00EE6584"/>
    <w:rsid w:val="00F22D8F"/>
    <w:rsid w:val="00F26846"/>
    <w:rsid w:val="00F425C2"/>
    <w:rsid w:val="00F6121C"/>
    <w:rsid w:val="00F65430"/>
    <w:rsid w:val="00F72BD8"/>
    <w:rsid w:val="00F73527"/>
    <w:rsid w:val="00F7496F"/>
    <w:rsid w:val="00F85976"/>
    <w:rsid w:val="00F87173"/>
    <w:rsid w:val="00F94053"/>
    <w:rsid w:val="00FB37C9"/>
    <w:rsid w:val="00FB75B5"/>
    <w:rsid w:val="00FC3995"/>
    <w:rsid w:val="00FD38DB"/>
    <w:rsid w:val="00FF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customStyle="1" w:styleId="z-BottomofForm1">
    <w:name w:val="z-Bottom of Form1"/>
  </w:style>
  <w:style w:type="paragraph" w:styleId="NormalWeb">
    <w:name w:val="Normal (Web)"/>
    <w:basedOn w:val="Normal"/>
    <w:pPr>
      <w:tabs>
        <w:tab w:val="left" w:pos="-1440"/>
        <w:tab w:val="left" w:pos="-720"/>
      </w:tabs>
      <w:jc w:val="both"/>
    </w:pPr>
  </w:style>
  <w:style w:type="paragraph" w:customStyle="1" w:styleId="HTMLAcronym1">
    <w:name w:val="HTML Acronym1"/>
    <w:basedOn w:val="Normal"/>
    <w:pPr>
      <w:ind w:left="720"/>
    </w:pPr>
  </w:style>
  <w:style w:type="paragraph" w:styleId="BalloonText">
    <w:name w:val="Balloon Text"/>
    <w:basedOn w:val="Normal"/>
    <w:link w:val="BalloonTextChar"/>
    <w:rsid w:val="00EE48C3"/>
    <w:rPr>
      <w:rFonts w:ascii="Tahoma" w:hAnsi="Tahoma" w:cs="Tahoma"/>
      <w:sz w:val="16"/>
      <w:szCs w:val="16"/>
    </w:rPr>
  </w:style>
  <w:style w:type="character" w:customStyle="1" w:styleId="BalloonTextChar">
    <w:name w:val="Balloon Text Char"/>
    <w:link w:val="BalloonText"/>
    <w:rsid w:val="00EE48C3"/>
    <w:rPr>
      <w:rFonts w:ascii="Tahoma" w:hAnsi="Tahoma" w:cs="Tahoma"/>
      <w:sz w:val="16"/>
      <w:szCs w:val="16"/>
    </w:rPr>
  </w:style>
  <w:style w:type="table" w:styleId="TableGrid">
    <w:name w:val="Table Grid"/>
    <w:basedOn w:val="TableNormal"/>
    <w:uiPriority w:val="59"/>
    <w:rsid w:val="009E798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7A90"/>
    <w:pPr>
      <w:ind w:left="720"/>
    </w:pPr>
  </w:style>
  <w:style w:type="character" w:styleId="Hyperlink">
    <w:name w:val="Hyperlink"/>
    <w:rsid w:val="00457A7A"/>
    <w:rPr>
      <w:color w:val="0000FF"/>
      <w:u w:val="single"/>
    </w:rPr>
  </w:style>
  <w:style w:type="paragraph" w:styleId="Header">
    <w:name w:val="header"/>
    <w:basedOn w:val="Normal"/>
    <w:link w:val="HeaderChar"/>
    <w:rsid w:val="00457A7A"/>
    <w:pPr>
      <w:tabs>
        <w:tab w:val="center" w:pos="4680"/>
        <w:tab w:val="right" w:pos="9360"/>
      </w:tabs>
    </w:pPr>
  </w:style>
  <w:style w:type="character" w:customStyle="1" w:styleId="HeaderChar">
    <w:name w:val="Header Char"/>
    <w:basedOn w:val="DefaultParagraphFont"/>
    <w:link w:val="Header"/>
    <w:rsid w:val="00457A7A"/>
  </w:style>
  <w:style w:type="paragraph" w:styleId="Footer">
    <w:name w:val="footer"/>
    <w:basedOn w:val="Normal"/>
    <w:link w:val="FooterChar"/>
    <w:uiPriority w:val="99"/>
    <w:rsid w:val="00457A7A"/>
    <w:pPr>
      <w:tabs>
        <w:tab w:val="center" w:pos="4680"/>
        <w:tab w:val="right" w:pos="9360"/>
      </w:tabs>
    </w:pPr>
  </w:style>
  <w:style w:type="character" w:customStyle="1" w:styleId="FooterChar">
    <w:name w:val="Footer Char"/>
    <w:basedOn w:val="DefaultParagraphFont"/>
    <w:link w:val="Footer"/>
    <w:uiPriority w:val="99"/>
    <w:rsid w:val="0045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9197E-732E-4D1C-A67A-776D9C35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2018-01-16T16:02:00Z</dcterms:created>
  <dcterms:modified xsi:type="dcterms:W3CDTF">2018-01-16T16:02:00Z</dcterms:modified>
</cp:coreProperties>
</file>